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272" w:tblpY="405"/>
        <w:tblW w:w="10060" w:type="dxa"/>
        <w:tblBorders>
          <w:bottom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7C6B6E" w:rsidRPr="00686EE7" w14:paraId="14B503C7" w14:textId="77777777" w:rsidTr="00442C24">
        <w:trPr>
          <w:trHeight w:val="186"/>
        </w:trPr>
        <w:tc>
          <w:tcPr>
            <w:tcW w:w="10060" w:type="dxa"/>
          </w:tcPr>
          <w:p w14:paraId="10D69F96" w14:textId="1D133A55" w:rsidR="00442C24" w:rsidRPr="00A66D47" w:rsidRDefault="005A7EAC" w:rsidP="00A66D47">
            <w:pPr>
              <w:pStyle w:val="Title"/>
              <w:keepLines/>
              <w:spacing w:after="240"/>
              <w:ind w:left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bCs/>
                <w:sz w:val="22"/>
                <w:szCs w:val="22"/>
              </w:rPr>
              <w:t>СОГЛАШЕНИЕ О КОНФИДЕНЦИАЛЬНОСТИ (</w:t>
            </w:r>
            <w:r w:rsidRPr="00686EE7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NDA</w:t>
            </w:r>
            <w:r w:rsidRPr="00686EE7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</w:tr>
      <w:tr w:rsidR="007C6B6E" w:rsidRPr="00686EE7" w14:paraId="6DDEAA26" w14:textId="77777777" w:rsidTr="00442C24">
        <w:tc>
          <w:tcPr>
            <w:tcW w:w="10060" w:type="dxa"/>
          </w:tcPr>
          <w:p w14:paraId="7F5EAB4D" w14:textId="2364CE9B" w:rsidR="007C6B6E" w:rsidRPr="00686EE7" w:rsidRDefault="007C6B6E" w:rsidP="00113BD6">
            <w:pPr>
              <w:keepLines/>
              <w:spacing w:after="120"/>
              <w:jc w:val="center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г</w:t>
            </w:r>
            <w:r w:rsidRPr="00686EE7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. </w:t>
            </w:r>
            <w:r w:rsidR="005A7EAC" w:rsidRPr="00686EE7">
              <w:rPr>
                <w:rFonts w:ascii="Segoe UI" w:hAnsi="Segoe UI" w:cs="Segoe UI"/>
                <w:sz w:val="22"/>
                <w:szCs w:val="22"/>
                <w:lang w:val="en-US"/>
              </w:rPr>
              <w:t>_______</w:t>
            </w:r>
            <w:r w:rsidRPr="00686EE7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 </w:t>
            </w:r>
            <w:r w:rsidRPr="00686EE7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</w:t>
            </w:r>
            <w:r w:rsidRPr="00686EE7">
              <w:rPr>
                <w:rFonts w:ascii="Segoe UI" w:hAnsi="Segoe UI" w:cs="Segoe UI"/>
                <w:sz w:val="22"/>
                <w:szCs w:val="22"/>
                <w:lang w:val="kk-KZ"/>
              </w:rPr>
              <w:t xml:space="preserve"> </w:t>
            </w:r>
            <w:r w:rsidR="00874EA5" w:rsidRPr="00686EE7">
              <w:rPr>
                <w:rFonts w:ascii="Segoe UI" w:hAnsi="Segoe UI" w:cs="Segoe UI"/>
                <w:sz w:val="22"/>
                <w:szCs w:val="22"/>
                <w:lang w:val="kk-KZ"/>
              </w:rPr>
              <w:t xml:space="preserve">   </w:t>
            </w:r>
            <w:r w:rsidR="00B863F5" w:rsidRPr="00686EE7">
              <w:rPr>
                <w:rFonts w:ascii="Segoe UI" w:hAnsi="Segoe UI" w:cs="Segoe UI"/>
                <w:sz w:val="22"/>
                <w:szCs w:val="22"/>
                <w:lang w:val="kk-KZ"/>
              </w:rPr>
              <w:t xml:space="preserve">        </w:t>
            </w:r>
            <w:r w:rsidRPr="00686EE7">
              <w:rPr>
                <w:rFonts w:ascii="Segoe UI" w:hAnsi="Segoe UI" w:cs="Segoe UI"/>
                <w:sz w:val="22"/>
                <w:szCs w:val="22"/>
                <w:lang w:val="en-GB"/>
              </w:rPr>
              <w:t>«</w:t>
            </w:r>
            <w:r w:rsidR="005A7EAC" w:rsidRPr="00686EE7">
              <w:rPr>
                <w:rFonts w:ascii="Segoe UI" w:hAnsi="Segoe UI" w:cs="Segoe UI"/>
                <w:sz w:val="22"/>
                <w:szCs w:val="22"/>
                <w:lang w:val="en-US"/>
              </w:rPr>
              <w:t>__</w:t>
            </w:r>
            <w:r w:rsidRPr="00686EE7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» </w:t>
            </w:r>
            <w:r w:rsidR="005A7EAC" w:rsidRPr="00686EE7">
              <w:rPr>
                <w:rFonts w:ascii="Segoe UI" w:hAnsi="Segoe UI" w:cs="Segoe UI"/>
                <w:sz w:val="22"/>
                <w:szCs w:val="22"/>
                <w:lang w:val="en-US"/>
              </w:rPr>
              <w:t>_____</w:t>
            </w:r>
            <w:r w:rsidRPr="00686EE7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</w:t>
            </w:r>
            <w:r w:rsidRPr="00686EE7">
              <w:rPr>
                <w:rFonts w:ascii="Segoe UI" w:hAnsi="Segoe UI" w:cs="Segoe UI"/>
                <w:sz w:val="22"/>
                <w:szCs w:val="22"/>
                <w:lang w:val="en-GB"/>
              </w:rPr>
              <w:t>2</w:t>
            </w:r>
            <w:r w:rsidRPr="00686EE7">
              <w:rPr>
                <w:rFonts w:ascii="Segoe UI" w:hAnsi="Segoe UI" w:cs="Segoe UI"/>
                <w:sz w:val="22"/>
                <w:szCs w:val="22"/>
                <w:lang w:val="en-US"/>
              </w:rPr>
              <w:t>02</w:t>
            </w:r>
            <w:r w:rsidR="005A7EAC" w:rsidRPr="00686EE7">
              <w:rPr>
                <w:rFonts w:ascii="Segoe UI" w:hAnsi="Segoe UI" w:cs="Segoe UI"/>
                <w:sz w:val="22"/>
                <w:szCs w:val="22"/>
                <w:lang w:val="en-US"/>
              </w:rPr>
              <w:t>_</w:t>
            </w:r>
            <w:r w:rsidR="00AC10AB">
              <w:rPr>
                <w:rFonts w:ascii="Segoe UI" w:hAnsi="Segoe UI" w:cs="Segoe UI"/>
                <w:sz w:val="22"/>
                <w:szCs w:val="22"/>
                <w:lang w:val="en-US"/>
              </w:rPr>
              <w:t>_</w:t>
            </w:r>
            <w:r w:rsidRPr="00686EE7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г</w:t>
            </w:r>
            <w:r w:rsidRPr="00686EE7">
              <w:rPr>
                <w:rFonts w:ascii="Segoe UI" w:hAnsi="Segoe UI" w:cs="Segoe UI"/>
                <w:sz w:val="22"/>
                <w:szCs w:val="22"/>
                <w:lang w:val="en-GB"/>
              </w:rPr>
              <w:t>.</w:t>
            </w:r>
          </w:p>
        </w:tc>
      </w:tr>
      <w:tr w:rsidR="007C6B6E" w:rsidRPr="00686EE7" w14:paraId="26ABA3FD" w14:textId="77777777" w:rsidTr="00442C24">
        <w:tc>
          <w:tcPr>
            <w:tcW w:w="10060" w:type="dxa"/>
          </w:tcPr>
          <w:p w14:paraId="2FB3FADC" w14:textId="6563CB27" w:rsidR="007C6B6E" w:rsidRPr="00BE7DB9" w:rsidRDefault="005A7EAC" w:rsidP="00424FA3">
            <w:pPr>
              <w:pStyle w:val="paragraph"/>
              <w:spacing w:before="0" w:beforeAutospacing="0" w:after="240" w:afterAutospacing="0"/>
              <w:ind w:firstLine="567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_______________________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 xml:space="preserve">, в лице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__________________________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>, действующе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й(го)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 xml:space="preserve"> на основании</w:t>
            </w:r>
            <w:r w:rsidR="00F71FC5" w:rsidRPr="00686EE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______________________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>, именуемый в дальнейшем «Передающая Сторона»</w:t>
            </w:r>
            <w:r w:rsidR="007C6B6E" w:rsidRPr="00686EE7">
              <w:rPr>
                <w:rFonts w:ascii="Segoe UI" w:hAnsi="Segoe UI" w:cs="Segoe UI"/>
                <w:sz w:val="22"/>
                <w:szCs w:val="22"/>
                <w:lang w:eastAsia="ko-KR"/>
              </w:rPr>
              <w:t>,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 xml:space="preserve"> с одной стороны, и </w:t>
            </w:r>
            <w:r w:rsidR="00424FA3" w:rsidRPr="00826D60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ТОО «HR </w:t>
            </w:r>
            <w:proofErr w:type="spellStart"/>
            <w:r w:rsidR="00424FA3" w:rsidRPr="00826D60">
              <w:rPr>
                <w:rFonts w:ascii="Segoe UI" w:hAnsi="Segoe UI" w:cs="Segoe UI"/>
                <w:sz w:val="22"/>
                <w:szCs w:val="22"/>
                <w:lang w:eastAsia="en-US"/>
              </w:rPr>
              <w:t>Practice</w:t>
            </w:r>
            <w:proofErr w:type="spellEnd"/>
            <w:r w:rsidR="00424FA3" w:rsidRPr="00826D60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Kazakhstan»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="00B863F5" w:rsidRPr="00686EE7">
              <w:rPr>
                <w:rFonts w:ascii="Segoe UI" w:hAnsi="Segoe UI" w:cs="Segoe UI"/>
                <w:sz w:val="22"/>
                <w:szCs w:val="22"/>
              </w:rPr>
              <w:t xml:space="preserve">в лице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_________________________</w:t>
            </w:r>
            <w:r w:rsidR="00A50910" w:rsidRPr="00686EE7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действующей(го)</w:t>
            </w:r>
            <w:r w:rsidR="00F71FC5" w:rsidRPr="00686EE7">
              <w:rPr>
                <w:rFonts w:ascii="Segoe UI" w:hAnsi="Segoe UI" w:cs="Segoe UI"/>
                <w:sz w:val="22"/>
                <w:szCs w:val="22"/>
              </w:rPr>
              <w:t xml:space="preserve"> на основании</w:t>
            </w:r>
            <w:r w:rsidR="00A50910" w:rsidRPr="00686EE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_____________________</w:t>
            </w:r>
            <w:r w:rsidR="00A50910" w:rsidRPr="00686EE7">
              <w:rPr>
                <w:rFonts w:ascii="Segoe UI" w:hAnsi="Segoe UI" w:cs="Segoe UI"/>
                <w:sz w:val="22"/>
                <w:szCs w:val="22"/>
              </w:rPr>
              <w:t>,</w:t>
            </w:r>
            <w:r w:rsidR="00F71FC5" w:rsidRPr="00686EE7">
              <w:rPr>
                <w:rFonts w:ascii="Segoe UI" w:hAnsi="Segoe UI" w:cs="Segoe UI"/>
                <w:sz w:val="22"/>
                <w:szCs w:val="22"/>
              </w:rPr>
              <w:t xml:space="preserve"> именуемый 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 xml:space="preserve">дальнейшем </w:t>
            </w:r>
            <w:r w:rsidR="007C6B6E" w:rsidRPr="00686EE7">
              <w:rPr>
                <w:rFonts w:ascii="Segoe UI" w:hAnsi="Segoe UI" w:cs="Segoe UI"/>
                <w:sz w:val="22"/>
                <w:szCs w:val="22"/>
                <w:lang w:eastAsia="ko-KR"/>
              </w:rPr>
              <w:t>«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>Получающая Сторона</w:t>
            </w:r>
            <w:r w:rsidR="007C6B6E" w:rsidRPr="00686EE7">
              <w:rPr>
                <w:rFonts w:ascii="Segoe UI" w:hAnsi="Segoe UI" w:cs="Segoe UI"/>
                <w:sz w:val="22"/>
                <w:szCs w:val="22"/>
                <w:lang w:eastAsia="ko-KR"/>
              </w:rPr>
              <w:t>»,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 xml:space="preserve"> с другой стороны, вместе далее по тексту именуемые как «Стороны», </w:t>
            </w:r>
            <w:r w:rsidR="00F71FC5" w:rsidRPr="00686EE7">
              <w:rPr>
                <w:rFonts w:ascii="Segoe UI" w:hAnsi="Segoe UI" w:cs="Segoe UI"/>
                <w:sz w:val="22"/>
                <w:szCs w:val="22"/>
              </w:rPr>
              <w:t>или как указано выше,</w:t>
            </w:r>
            <w:r w:rsidR="007C6B6E" w:rsidRPr="00686EE7">
              <w:rPr>
                <w:rFonts w:ascii="Segoe UI" w:hAnsi="Segoe UI" w:cs="Segoe UI"/>
                <w:sz w:val="22"/>
                <w:szCs w:val="22"/>
              </w:rPr>
              <w:t xml:space="preserve"> заключили настоящее Соглашение о конфиденциальности (далее – «Соглашение») о нижеследующем:</w:t>
            </w:r>
          </w:p>
        </w:tc>
      </w:tr>
      <w:tr w:rsidR="007C6B6E" w:rsidRPr="00686EE7" w14:paraId="32CF55A7" w14:textId="77777777" w:rsidTr="00442C24">
        <w:trPr>
          <w:trHeight w:val="285"/>
        </w:trPr>
        <w:tc>
          <w:tcPr>
            <w:tcW w:w="10060" w:type="dxa"/>
          </w:tcPr>
          <w:p w14:paraId="21BEE120" w14:textId="77777777" w:rsidR="007C6B6E" w:rsidRPr="00686EE7" w:rsidRDefault="007C6B6E" w:rsidP="00113BD6">
            <w:pPr>
              <w:keepLines/>
              <w:numPr>
                <w:ilvl w:val="0"/>
                <w:numId w:val="1"/>
              </w:numPr>
              <w:spacing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ТЕРМИНЫ И ОПРЕДЕЛЕНИЯ</w:t>
            </w:r>
          </w:p>
        </w:tc>
      </w:tr>
      <w:tr w:rsidR="007C6B6E" w:rsidRPr="00686EE7" w14:paraId="771AFC00" w14:textId="77777777" w:rsidTr="00442C24">
        <w:trPr>
          <w:trHeight w:val="291"/>
        </w:trPr>
        <w:tc>
          <w:tcPr>
            <w:tcW w:w="10060" w:type="dxa"/>
          </w:tcPr>
          <w:p w14:paraId="5715B704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Используемый в тексте Соглашения термин «Конфиденциальная информация» означает любую информацию, включая, но не ограничиваясь этим, сведения о лицах, предметах, фактах, событиях, явлениях и процессах независимо от формы их представления, персональные данные работников Передающей стороны, а также третьих лиц, а также любые другие сведения, полученные от Передающей Стороны. Конфиденциальная информация также включает в себя документы, записи, информацию и данные, модели, графики, планы, технические процедуры, анализы, отчеты, программное обеспечение, образцы, формулы, методологию, ноу-хау, спецификации, </w:t>
            </w:r>
            <w:r w:rsidR="00FB2F1D" w:rsidRPr="00686EE7">
              <w:rPr>
                <w:rFonts w:ascii="Segoe UI" w:hAnsi="Segoe UI" w:cs="Segoe UI"/>
                <w:sz w:val="22"/>
                <w:szCs w:val="22"/>
              </w:rPr>
              <w:t xml:space="preserve">любые изображения,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а также </w:t>
            </w:r>
            <w:r w:rsidR="00FB2F1D" w:rsidRPr="00686EE7">
              <w:rPr>
                <w:rFonts w:ascii="Segoe UI" w:hAnsi="Segoe UI" w:cs="Segoe UI"/>
                <w:sz w:val="22"/>
                <w:szCs w:val="22"/>
              </w:rPr>
              <w:t xml:space="preserve">любую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иную деловую информацию, имеющую отношение к деятельности, средствам, операциям или контрактам/договорам </w:t>
            </w:r>
            <w:r w:rsidR="00F71FC5" w:rsidRPr="00686EE7">
              <w:rPr>
                <w:rFonts w:ascii="Segoe UI" w:hAnsi="Segoe UI" w:cs="Segoe UI"/>
                <w:sz w:val="22"/>
                <w:szCs w:val="22"/>
              </w:rPr>
              <w:t>Передающей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71FC5" w:rsidRPr="00686EE7">
              <w:rPr>
                <w:rFonts w:ascii="Segoe UI" w:hAnsi="Segoe UI" w:cs="Segoe UI"/>
                <w:sz w:val="22"/>
                <w:szCs w:val="22"/>
              </w:rPr>
              <w:t>С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тороны, независимо от того, была ли такая Конфиденциальная информация непосредственно обозначена как конфиденциальная.  Конфиденциальная информация может быть предоставлена в письменной, устной, электронной и иной форме. Ни одно положение настоящего Соглашения не обязывает Передающую Сторону к раскрытию какой-либо своей информации.</w:t>
            </w:r>
          </w:p>
        </w:tc>
      </w:tr>
      <w:tr w:rsidR="007C6B6E" w:rsidRPr="00686EE7" w14:paraId="5131B6D3" w14:textId="77777777" w:rsidTr="00442C24">
        <w:tc>
          <w:tcPr>
            <w:tcW w:w="10060" w:type="dxa"/>
          </w:tcPr>
          <w:p w14:paraId="61428D40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Понятие «Стороны» включает Передающую Сторону и Получающую Сторону, включая их законных правопреемников</w:t>
            </w:r>
            <w:r w:rsidR="00B863F5" w:rsidRPr="00686EE7">
              <w:rPr>
                <w:rFonts w:ascii="Segoe UI" w:hAnsi="Segoe UI" w:cs="Segoe UI"/>
                <w:sz w:val="22"/>
                <w:szCs w:val="22"/>
              </w:rPr>
              <w:t>, дочерни</w:t>
            </w:r>
            <w:r w:rsidR="00EE117C" w:rsidRPr="00686EE7">
              <w:rPr>
                <w:rFonts w:ascii="Segoe UI" w:hAnsi="Segoe UI" w:cs="Segoe UI"/>
                <w:sz w:val="22"/>
                <w:szCs w:val="22"/>
              </w:rPr>
              <w:t>е</w:t>
            </w:r>
            <w:r w:rsidR="00B863F5" w:rsidRPr="00686EE7">
              <w:rPr>
                <w:rFonts w:ascii="Segoe UI" w:hAnsi="Segoe UI" w:cs="Segoe UI"/>
                <w:sz w:val="22"/>
                <w:szCs w:val="22"/>
              </w:rPr>
              <w:t xml:space="preserve"> ком</w:t>
            </w:r>
            <w:r w:rsidR="00EE117C" w:rsidRPr="00686EE7">
              <w:rPr>
                <w:rFonts w:ascii="Segoe UI" w:hAnsi="Segoe UI" w:cs="Segoe UI"/>
                <w:sz w:val="22"/>
                <w:szCs w:val="22"/>
              </w:rPr>
              <w:t xml:space="preserve">пании, аффилированных лиц, </w:t>
            </w:r>
            <w:r w:rsidR="00B863F5" w:rsidRPr="00686EE7">
              <w:rPr>
                <w:rFonts w:ascii="Segoe UI" w:hAnsi="Segoe UI" w:cs="Segoe UI"/>
                <w:sz w:val="22"/>
                <w:szCs w:val="22"/>
              </w:rPr>
              <w:t>подрядчиков</w:t>
            </w:r>
            <w:r w:rsidR="00EE117C" w:rsidRPr="00686EE7">
              <w:rPr>
                <w:rFonts w:ascii="Segoe UI" w:hAnsi="Segoe UI" w:cs="Segoe UI"/>
                <w:sz w:val="22"/>
                <w:szCs w:val="22"/>
              </w:rPr>
              <w:t xml:space="preserve"> и любых иных лиц, привлеченных для участия в процессах Сторон, связанных с исполнением каких-либо обязательств, в рамках которых по настоящему Соглашению</w:t>
            </w:r>
            <w:r w:rsidR="00FB2F1D" w:rsidRPr="00686EE7">
              <w:rPr>
                <w:rFonts w:ascii="Segoe UI" w:hAnsi="Segoe UI" w:cs="Segoe UI"/>
                <w:sz w:val="22"/>
                <w:szCs w:val="22"/>
              </w:rPr>
              <w:t xml:space="preserve"> (раскрывается)</w:t>
            </w:r>
            <w:r w:rsidR="00EE117C" w:rsidRPr="00686EE7">
              <w:rPr>
                <w:rFonts w:ascii="Segoe UI" w:hAnsi="Segoe UI" w:cs="Segoe UI"/>
                <w:sz w:val="22"/>
                <w:szCs w:val="22"/>
              </w:rPr>
              <w:t xml:space="preserve"> предоставляется доступ к Конфиденциальной информации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. Понятие «Получающая Сторона» включает также </w:t>
            </w:r>
            <w:r w:rsidR="00F71FC5" w:rsidRPr="00686EE7">
              <w:rPr>
                <w:rFonts w:ascii="Segoe UI" w:hAnsi="Segoe UI" w:cs="Segoe UI"/>
                <w:sz w:val="22"/>
                <w:szCs w:val="22"/>
              </w:rPr>
              <w:t>привлеченных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Получающей Сторон</w:t>
            </w:r>
            <w:r w:rsidR="00F71FC5" w:rsidRPr="00686EE7">
              <w:rPr>
                <w:rFonts w:ascii="Segoe UI" w:hAnsi="Segoe UI" w:cs="Segoe UI"/>
                <w:sz w:val="22"/>
                <w:szCs w:val="22"/>
              </w:rPr>
              <w:t>ой лиц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, которые получают доступ к Конфиденциальной информации в соответствии с пунктом 3.1.</w:t>
            </w:r>
          </w:p>
        </w:tc>
      </w:tr>
      <w:tr w:rsidR="00F71FC5" w:rsidRPr="00686EE7" w14:paraId="55516558" w14:textId="77777777" w:rsidTr="00442C24">
        <w:tc>
          <w:tcPr>
            <w:tcW w:w="10060" w:type="dxa"/>
          </w:tcPr>
          <w:p w14:paraId="7B3FB00A" w14:textId="77777777" w:rsidR="00F71FC5" w:rsidRPr="00686EE7" w:rsidRDefault="00136C76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Понятие «</w:t>
            </w:r>
            <w:r w:rsidR="0082299A" w:rsidRPr="00686EE7">
              <w:rPr>
                <w:rFonts w:ascii="Segoe UI" w:hAnsi="Segoe UI" w:cs="Segoe UI"/>
                <w:sz w:val="22"/>
                <w:szCs w:val="22"/>
              </w:rPr>
              <w:t>Исполнитель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» означает Получающую Сторону как лицо</w:t>
            </w:r>
            <w:r w:rsidR="00D21826" w:rsidRPr="00686EE7">
              <w:rPr>
                <w:rFonts w:ascii="Segoe UI" w:hAnsi="Segoe UI" w:cs="Segoe UI"/>
                <w:sz w:val="22"/>
                <w:szCs w:val="22"/>
              </w:rPr>
              <w:t>,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оказывающее Передающей Стороне </w:t>
            </w:r>
            <w:r w:rsidR="00C5371B" w:rsidRPr="00686EE7">
              <w:rPr>
                <w:rFonts w:ascii="Segoe UI" w:hAnsi="Segoe UI" w:cs="Segoe UI"/>
                <w:sz w:val="22"/>
                <w:szCs w:val="22"/>
              </w:rPr>
              <w:t>Тренинговые у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слуги по договору оказания услуг, заключенному между </w:t>
            </w:r>
            <w:r w:rsidR="00C5371B" w:rsidRPr="00686EE7">
              <w:rPr>
                <w:rFonts w:ascii="Segoe UI" w:hAnsi="Segoe UI" w:cs="Segoe UI"/>
                <w:sz w:val="22"/>
                <w:szCs w:val="22"/>
              </w:rPr>
              <w:t>Исполнителем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и Передающей Стороной как заказчиком услуг.</w:t>
            </w:r>
            <w:r w:rsidR="00FB2F1D" w:rsidRPr="00686EE7">
              <w:rPr>
                <w:rFonts w:ascii="Segoe UI" w:hAnsi="Segoe UI" w:cs="Segoe UI"/>
                <w:sz w:val="22"/>
                <w:szCs w:val="22"/>
              </w:rPr>
              <w:t xml:space="preserve"> Понятие </w:t>
            </w:r>
            <w:r w:rsidR="003D6837" w:rsidRPr="00686EE7">
              <w:rPr>
                <w:rFonts w:ascii="Segoe UI" w:hAnsi="Segoe UI" w:cs="Segoe UI"/>
                <w:sz w:val="22"/>
                <w:szCs w:val="22"/>
              </w:rPr>
              <w:t xml:space="preserve">Исполнитель </w:t>
            </w:r>
            <w:r w:rsidR="00FB2F1D" w:rsidRPr="00686EE7">
              <w:rPr>
                <w:rFonts w:ascii="Segoe UI" w:hAnsi="Segoe UI" w:cs="Segoe UI"/>
                <w:sz w:val="22"/>
                <w:szCs w:val="22"/>
              </w:rPr>
              <w:t>в целях настоящего Соглашения также включает всех работников и привлеченных Получающей Стороной третьих лиц для оказания Передающей Стороне консалтинговых услуг</w:t>
            </w:r>
            <w:r w:rsidR="0040210F" w:rsidRPr="00686EE7">
              <w:rPr>
                <w:rFonts w:ascii="Segoe UI" w:hAnsi="Segoe UI" w:cs="Segoe UI"/>
                <w:sz w:val="22"/>
                <w:szCs w:val="22"/>
              </w:rPr>
              <w:t>.</w:t>
            </w:r>
            <w:r w:rsidR="00FB2F1D" w:rsidRPr="00686EE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D21826" w:rsidRPr="00686EE7" w14:paraId="42815113" w14:textId="77777777" w:rsidTr="00442C24">
        <w:tc>
          <w:tcPr>
            <w:tcW w:w="10060" w:type="dxa"/>
          </w:tcPr>
          <w:p w14:paraId="2EA9C899" w14:textId="77777777" w:rsidR="00D21826" w:rsidRPr="00686EE7" w:rsidRDefault="00D21826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Понятие «Цель» - означает осуществление </w:t>
            </w:r>
            <w:r w:rsidR="0082299A" w:rsidRPr="00686EE7">
              <w:rPr>
                <w:rFonts w:ascii="Segoe UI" w:hAnsi="Segoe UI" w:cs="Segoe UI"/>
                <w:sz w:val="22"/>
                <w:szCs w:val="22"/>
              </w:rPr>
              <w:t xml:space="preserve">Исполнителем </w:t>
            </w:r>
            <w:r w:rsidR="0040210F" w:rsidRPr="00686EE7">
              <w:rPr>
                <w:rFonts w:ascii="Segoe UI" w:hAnsi="Segoe UI" w:cs="Segoe UI"/>
                <w:sz w:val="22"/>
                <w:szCs w:val="22"/>
              </w:rPr>
              <w:t xml:space="preserve">комплекса мероприятий с целью оказания </w:t>
            </w:r>
            <w:r w:rsidR="0082299A" w:rsidRPr="00686EE7">
              <w:rPr>
                <w:rFonts w:ascii="Segoe UI" w:hAnsi="Segoe UI" w:cs="Segoe UI"/>
                <w:sz w:val="22"/>
                <w:szCs w:val="22"/>
              </w:rPr>
              <w:t xml:space="preserve">тренинговых </w:t>
            </w:r>
            <w:r w:rsidR="0040210F" w:rsidRPr="00686EE7">
              <w:rPr>
                <w:rFonts w:ascii="Segoe UI" w:hAnsi="Segoe UI" w:cs="Segoe UI"/>
                <w:sz w:val="22"/>
                <w:szCs w:val="22"/>
              </w:rPr>
              <w:t xml:space="preserve">услуг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Передающей Сторон</w:t>
            </w:r>
            <w:r w:rsidR="0040210F" w:rsidRPr="00686EE7">
              <w:rPr>
                <w:rFonts w:ascii="Segoe UI" w:hAnsi="Segoe UI" w:cs="Segoe UI"/>
                <w:sz w:val="22"/>
                <w:szCs w:val="22"/>
              </w:rPr>
              <w:t>е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как заказчик</w:t>
            </w:r>
            <w:r w:rsidR="0040210F" w:rsidRPr="00686EE7">
              <w:rPr>
                <w:rFonts w:ascii="Segoe UI" w:hAnsi="Segoe UI" w:cs="Segoe UI"/>
                <w:sz w:val="22"/>
                <w:szCs w:val="22"/>
              </w:rPr>
              <w:t>у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услуг</w:t>
            </w:r>
            <w:r w:rsidR="0040210F" w:rsidRPr="00686EE7">
              <w:rPr>
                <w:rFonts w:ascii="Segoe UI" w:hAnsi="Segoe UI" w:cs="Segoe UI"/>
                <w:sz w:val="22"/>
                <w:szCs w:val="22"/>
              </w:rPr>
              <w:t xml:space="preserve"> и получения последним ожидаемого от услуг результата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7C6B6E" w:rsidRPr="00686EE7" w14:paraId="64E63EF3" w14:textId="77777777" w:rsidTr="00442C24">
        <w:tc>
          <w:tcPr>
            <w:tcW w:w="10060" w:type="dxa"/>
          </w:tcPr>
          <w:p w14:paraId="76102848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Понятие «Соглашение» означает настоящее Соглашение о конфиденциальности между Сторонами, с учетом изменений и дополнений, вносимых Сторонами в соответствии с пунктом 6.5. Все ссылки в тексте Соглашения на статьи и пункты понимаются как ссылки на статьи и пункты настоящего Соглашения.</w:t>
            </w:r>
          </w:p>
        </w:tc>
      </w:tr>
      <w:tr w:rsidR="007C6B6E" w:rsidRPr="00686EE7" w14:paraId="46E0016D" w14:textId="77777777" w:rsidTr="00442C24">
        <w:tc>
          <w:tcPr>
            <w:tcW w:w="10060" w:type="dxa"/>
          </w:tcPr>
          <w:p w14:paraId="7009E696" w14:textId="77777777" w:rsidR="007C6B6E" w:rsidRPr="00686EE7" w:rsidRDefault="007C6B6E" w:rsidP="00113BD6">
            <w:pPr>
              <w:keepLines/>
              <w:numPr>
                <w:ilvl w:val="0"/>
                <w:numId w:val="1"/>
              </w:numPr>
              <w:spacing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ПРЕДМЕТ</w:t>
            </w: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СОГЛАШЕНИЯ</w:t>
            </w:r>
          </w:p>
        </w:tc>
      </w:tr>
      <w:tr w:rsidR="007C6B6E" w:rsidRPr="00686EE7" w14:paraId="104C6AFB" w14:textId="77777777" w:rsidTr="00442C24">
        <w:tc>
          <w:tcPr>
            <w:tcW w:w="10060" w:type="dxa"/>
          </w:tcPr>
          <w:p w14:paraId="1AA39308" w14:textId="77777777" w:rsidR="007C6B6E" w:rsidRPr="00686EE7" w:rsidRDefault="00D21826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Учитывая, что </w:t>
            </w:r>
            <w:r w:rsidR="0082299A" w:rsidRPr="00686EE7">
              <w:rPr>
                <w:rFonts w:ascii="Segoe UI" w:hAnsi="Segoe UI" w:cs="Segoe UI"/>
                <w:sz w:val="22"/>
                <w:szCs w:val="22"/>
              </w:rPr>
              <w:t xml:space="preserve">Исполнитель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будет иметь доступ к Конфиденциальной информации в ходе осуществления </w:t>
            </w:r>
            <w:r w:rsidR="00F453C3" w:rsidRPr="00686EE7">
              <w:rPr>
                <w:rFonts w:ascii="Segoe UI" w:hAnsi="Segoe UI" w:cs="Segoe UI"/>
                <w:sz w:val="22"/>
                <w:szCs w:val="22"/>
              </w:rPr>
              <w:t>деятельности по достижению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Цел</w:t>
            </w:r>
            <w:r w:rsidR="00F453C3" w:rsidRPr="00686EE7">
              <w:rPr>
                <w:rFonts w:ascii="Segoe UI" w:hAnsi="Segoe UI" w:cs="Segoe UI"/>
                <w:sz w:val="22"/>
                <w:szCs w:val="22"/>
              </w:rPr>
              <w:t>и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="003D6837" w:rsidRPr="00686EE7">
              <w:rPr>
                <w:rFonts w:ascii="Segoe UI" w:hAnsi="Segoe UI" w:cs="Segoe UI"/>
                <w:sz w:val="22"/>
                <w:szCs w:val="22"/>
              </w:rPr>
              <w:t xml:space="preserve">Исполнитель </w:t>
            </w:r>
            <w:r w:rsidR="00F453C3" w:rsidRPr="00686EE7">
              <w:rPr>
                <w:rFonts w:ascii="Segoe UI" w:hAnsi="Segoe UI" w:cs="Segoe UI"/>
                <w:sz w:val="22"/>
                <w:szCs w:val="22"/>
              </w:rPr>
              <w:t xml:space="preserve">в качестве </w:t>
            </w:r>
            <w:r w:rsidR="009F7818" w:rsidRPr="00686EE7">
              <w:rPr>
                <w:rFonts w:ascii="Segoe UI" w:hAnsi="Segoe UI" w:cs="Segoe UI"/>
                <w:sz w:val="22"/>
                <w:szCs w:val="22"/>
              </w:rPr>
              <w:t>Получающей</w:t>
            </w:r>
            <w:r w:rsidR="00F453C3" w:rsidRPr="00686EE7">
              <w:rPr>
                <w:rFonts w:ascii="Segoe UI" w:hAnsi="Segoe UI" w:cs="Segoe UI"/>
                <w:sz w:val="22"/>
                <w:szCs w:val="22"/>
              </w:rPr>
              <w:t xml:space="preserve"> Стороны,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обязуется хранить всю переданную </w:t>
            </w:r>
            <w:r w:rsidR="00545C4F" w:rsidRPr="00686EE7">
              <w:rPr>
                <w:rFonts w:ascii="Segoe UI" w:hAnsi="Segoe UI" w:cs="Segoe UI"/>
                <w:sz w:val="22"/>
                <w:szCs w:val="22"/>
              </w:rPr>
              <w:t>ему Передающей Стороной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Конфиденциальную информацию на условиях строгой конфиденциальности, не разглашать ее никакому третьему лицу, а также не использовать ее ни для каких иных целей, отличных от предусмотренных настоящим Соглашением или иным договором, в рамках которого такая Конфиденциальная информация передается</w:t>
            </w:r>
            <w:r w:rsidR="009F7818" w:rsidRPr="00686EE7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</w:p>
        </w:tc>
      </w:tr>
      <w:tr w:rsidR="009F7818" w:rsidRPr="00686EE7" w14:paraId="43A20BA2" w14:textId="77777777" w:rsidTr="00442C24">
        <w:tc>
          <w:tcPr>
            <w:tcW w:w="10060" w:type="dxa"/>
          </w:tcPr>
          <w:p w14:paraId="5EB0E730" w14:textId="77777777" w:rsidR="009F7818" w:rsidRPr="00686EE7" w:rsidRDefault="009F7818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Получающая Сторона обязуется обеспечить защиту Конфиденциальной информации на уровне, достаточном для Передающей Стороны, но, в любом случае, не меньшем, чем любой из уровней защиты собственной конфиденциальной информации Получающей Стороны</w:t>
            </w:r>
            <w:r w:rsidR="00C47D27" w:rsidRPr="00686EE7">
              <w:rPr>
                <w:rFonts w:ascii="Segoe UI" w:hAnsi="Segoe UI" w:cs="Segoe UI"/>
                <w:sz w:val="22"/>
                <w:szCs w:val="22"/>
              </w:rPr>
              <w:t>. Если применяемые Получающей Стороной способы и методы защиты собственной конфиденциальной информации не достаточны для Передающей Стороны, Получающая Сторона обязуется принять все необходимые меры и поднять уровень защиты до должного, отвечающего запросу Передающей Стороны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F71FC5" w:rsidRPr="00686EE7" w14:paraId="692E3875" w14:textId="77777777" w:rsidTr="00442C24">
        <w:tc>
          <w:tcPr>
            <w:tcW w:w="10060" w:type="dxa"/>
          </w:tcPr>
          <w:p w14:paraId="3AA50E9C" w14:textId="77777777" w:rsidR="00455081" w:rsidRPr="00686EE7" w:rsidRDefault="00455081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Настоящее Соглашение распространяется на Конфиденциальную информацию, доступ к которой был или будет предоставлен Получающей Стороне Передающей Стороной </w:t>
            </w:r>
            <w:r w:rsidR="00C47D27" w:rsidRPr="00686EE7">
              <w:rPr>
                <w:rFonts w:ascii="Segoe UI" w:hAnsi="Segoe UI" w:cs="Segoe UI"/>
                <w:sz w:val="22"/>
                <w:szCs w:val="22"/>
              </w:rPr>
              <w:t>в течение срока действия Соглашения</w:t>
            </w:r>
            <w:r w:rsidR="00793B28" w:rsidRPr="00686EE7">
              <w:rPr>
                <w:rFonts w:ascii="Segoe UI" w:hAnsi="Segoe UI" w:cs="Segoe UI"/>
                <w:sz w:val="22"/>
                <w:szCs w:val="22"/>
              </w:rPr>
              <w:t xml:space="preserve"> и </w:t>
            </w:r>
            <w:r w:rsidR="00C47D27" w:rsidRPr="00686EE7">
              <w:rPr>
                <w:rFonts w:ascii="Segoe UI" w:hAnsi="Segoe UI" w:cs="Segoe UI"/>
                <w:sz w:val="22"/>
                <w:szCs w:val="22"/>
              </w:rPr>
              <w:t xml:space="preserve">договора оказания консалтинговых услуг, упомянутого в п. </w:t>
            </w:r>
            <w:r w:rsidR="0076365D" w:rsidRPr="00686EE7">
              <w:rPr>
                <w:rFonts w:ascii="Segoe UI" w:hAnsi="Segoe UI" w:cs="Segoe UI"/>
                <w:sz w:val="22"/>
                <w:szCs w:val="22"/>
              </w:rPr>
              <w:t>1.3.,</w:t>
            </w:r>
            <w:r w:rsidR="00C47D27" w:rsidRPr="00686EE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или которая иным образом станет известной Получающей Стороне в рамках отношений Сторон.</w:t>
            </w:r>
          </w:p>
        </w:tc>
      </w:tr>
      <w:tr w:rsidR="00545C4F" w:rsidRPr="00686EE7" w14:paraId="7714B3D3" w14:textId="77777777" w:rsidTr="00442C24">
        <w:tc>
          <w:tcPr>
            <w:tcW w:w="10060" w:type="dxa"/>
          </w:tcPr>
          <w:p w14:paraId="2D38CCC7" w14:textId="77777777" w:rsidR="00545C4F" w:rsidRPr="00686EE7" w:rsidRDefault="00545C4F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Доступ к Конфиденциальной информации будет иметь только Получающая Сторона в качестве </w:t>
            </w:r>
            <w:r w:rsidR="003D6837" w:rsidRPr="00686EE7">
              <w:rPr>
                <w:rFonts w:ascii="Segoe UI" w:hAnsi="Segoe UI" w:cs="Segoe UI"/>
                <w:sz w:val="22"/>
                <w:szCs w:val="22"/>
              </w:rPr>
              <w:t>Исполнителя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, которому знание такой Конфиденциальной информации необходимо для </w:t>
            </w:r>
            <w:r w:rsidR="0076365D" w:rsidRPr="00686EE7">
              <w:rPr>
                <w:rFonts w:ascii="Segoe UI" w:hAnsi="Segoe UI" w:cs="Segoe UI"/>
                <w:sz w:val="22"/>
                <w:szCs w:val="22"/>
              </w:rPr>
              <w:t xml:space="preserve">достижения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Цели.</w:t>
            </w:r>
            <w:r w:rsidR="0076365D" w:rsidRPr="00686EE7">
              <w:rPr>
                <w:rFonts w:ascii="Segoe UI" w:hAnsi="Segoe UI" w:cs="Segoe UI"/>
                <w:sz w:val="22"/>
                <w:szCs w:val="22"/>
              </w:rPr>
              <w:t xml:space="preserve"> Дальнейшее использование Конфиденциальной информации работниками Получающей Стороны и привлеченными им для достижения Цели третьими лицами, осуществляется под контролем и ответственностью </w:t>
            </w:r>
            <w:r w:rsidR="003D6837" w:rsidRPr="00686EE7">
              <w:rPr>
                <w:rFonts w:ascii="Segoe UI" w:hAnsi="Segoe UI" w:cs="Segoe UI"/>
                <w:sz w:val="22"/>
                <w:szCs w:val="22"/>
              </w:rPr>
              <w:t>Исполнителя</w:t>
            </w:r>
            <w:r w:rsidR="0076365D" w:rsidRPr="00686EE7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7C6B6E" w:rsidRPr="00686EE7" w14:paraId="6BBAB146" w14:textId="77777777" w:rsidTr="00442C24">
        <w:tc>
          <w:tcPr>
            <w:tcW w:w="10060" w:type="dxa"/>
          </w:tcPr>
          <w:p w14:paraId="70439511" w14:textId="77777777" w:rsidR="007C6B6E" w:rsidRPr="00686EE7" w:rsidRDefault="007C6B6E" w:rsidP="00113BD6">
            <w:pPr>
              <w:keepLines/>
              <w:numPr>
                <w:ilvl w:val="0"/>
                <w:numId w:val="1"/>
              </w:numPr>
              <w:spacing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GB"/>
              </w:rPr>
            </w:pP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ОБЯЗАННОСТИ</w:t>
            </w: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СТОРОН</w:t>
            </w:r>
          </w:p>
        </w:tc>
      </w:tr>
      <w:tr w:rsidR="007C6B6E" w:rsidRPr="00686EE7" w14:paraId="6416AD4B" w14:textId="77777777" w:rsidTr="00442C24">
        <w:trPr>
          <w:trHeight w:val="539"/>
        </w:trPr>
        <w:tc>
          <w:tcPr>
            <w:tcW w:w="10060" w:type="dxa"/>
          </w:tcPr>
          <w:p w14:paraId="742FAD42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Конфиденциальная информация переда</w:t>
            </w:r>
            <w:r w:rsidR="00046680" w:rsidRPr="00686EE7">
              <w:rPr>
                <w:rFonts w:ascii="Segoe UI" w:hAnsi="Segoe UI" w:cs="Segoe UI"/>
                <w:sz w:val="22"/>
                <w:szCs w:val="22"/>
              </w:rPr>
              <w:t xml:space="preserve">ется Передающей Стороной </w:t>
            </w:r>
            <w:r w:rsidR="00455081" w:rsidRPr="00686EE7">
              <w:rPr>
                <w:rFonts w:ascii="Segoe UI" w:hAnsi="Segoe UI" w:cs="Segoe UI"/>
                <w:sz w:val="22"/>
                <w:szCs w:val="22"/>
              </w:rPr>
              <w:t>непосредственно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Получающей Сторон</w:t>
            </w:r>
            <w:r w:rsidR="00455081" w:rsidRPr="00686EE7">
              <w:rPr>
                <w:rFonts w:ascii="Segoe UI" w:hAnsi="Segoe UI" w:cs="Segoe UI"/>
                <w:sz w:val="22"/>
                <w:szCs w:val="22"/>
              </w:rPr>
              <w:t>е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, и только в той части, в которой это необходимо. </w:t>
            </w:r>
            <w:r w:rsidR="00793B28" w:rsidRPr="00686EE7">
              <w:rPr>
                <w:rFonts w:ascii="Segoe UI" w:hAnsi="Segoe UI" w:cs="Segoe UI"/>
                <w:sz w:val="22"/>
                <w:szCs w:val="22"/>
              </w:rPr>
              <w:t xml:space="preserve">Передача Конфиденциальной информации </w:t>
            </w:r>
            <w:r w:rsidR="00046680" w:rsidRPr="00686EE7">
              <w:rPr>
                <w:rFonts w:ascii="Segoe UI" w:hAnsi="Segoe UI" w:cs="Segoe UI"/>
                <w:sz w:val="22"/>
                <w:szCs w:val="22"/>
              </w:rPr>
              <w:t xml:space="preserve">любым третьим лицам, направленным </w:t>
            </w:r>
            <w:r w:rsidR="00455081" w:rsidRPr="00686EE7">
              <w:rPr>
                <w:rFonts w:ascii="Segoe UI" w:hAnsi="Segoe UI" w:cs="Segoe UI"/>
                <w:sz w:val="22"/>
                <w:szCs w:val="22"/>
              </w:rPr>
              <w:t>Получающ</w:t>
            </w:r>
            <w:r w:rsidR="00046680" w:rsidRPr="00686EE7">
              <w:rPr>
                <w:rFonts w:ascii="Segoe UI" w:hAnsi="Segoe UI" w:cs="Segoe UI"/>
                <w:sz w:val="22"/>
                <w:szCs w:val="22"/>
              </w:rPr>
              <w:t>ей</w:t>
            </w:r>
            <w:r w:rsidR="00455081" w:rsidRPr="00686EE7">
              <w:rPr>
                <w:rFonts w:ascii="Segoe UI" w:hAnsi="Segoe UI" w:cs="Segoe UI"/>
                <w:sz w:val="22"/>
                <w:szCs w:val="22"/>
              </w:rPr>
              <w:t xml:space="preserve"> Сторон</w:t>
            </w:r>
            <w:r w:rsidR="00046680" w:rsidRPr="00686EE7">
              <w:rPr>
                <w:rFonts w:ascii="Segoe UI" w:hAnsi="Segoe UI" w:cs="Segoe UI"/>
                <w:sz w:val="22"/>
                <w:szCs w:val="22"/>
              </w:rPr>
              <w:t>ой, не допускается. Каналы и способы передачи Конфиденциальной информации согласовываются Сторонами в рабочем порядке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7C6B6E" w:rsidRPr="00686EE7" w14:paraId="6E5F3B0A" w14:textId="77777777" w:rsidTr="00442C24">
        <w:trPr>
          <w:trHeight w:val="1134"/>
        </w:trPr>
        <w:tc>
          <w:tcPr>
            <w:tcW w:w="10060" w:type="dxa"/>
          </w:tcPr>
          <w:p w14:paraId="5502FAE0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Получающая Сторона не должна раскрывать, передавать, каким-либо способом делать известной или давать свое разрешение на использование Конфиденциальной информации любым третьим лицам (в том числе, но не ограничиваясь этим, своим аффилированным лицам, представителям, консультантам и т.д.) без предварительного письменного согласия Передающей Стороны. При этом Получающая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Получающая Сторона должна заблаговременно предоставить Передающей Стороне заверенную копию соглашения о конфиденциальности, подписанного таким третьим лицом (лицами).</w:t>
            </w:r>
          </w:p>
        </w:tc>
      </w:tr>
      <w:tr w:rsidR="007C6B6E" w:rsidRPr="00686EE7" w14:paraId="0FDC394E" w14:textId="77777777" w:rsidTr="00442C24">
        <w:tc>
          <w:tcPr>
            <w:tcW w:w="10060" w:type="dxa"/>
          </w:tcPr>
          <w:p w14:paraId="5668DC67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Конфиденциальная информация может быть передана </w:t>
            </w:r>
            <w:r w:rsidR="00FA7964" w:rsidRPr="00686EE7">
              <w:rPr>
                <w:rFonts w:ascii="Segoe UI" w:hAnsi="Segoe UI" w:cs="Segoe UI"/>
                <w:sz w:val="22"/>
                <w:szCs w:val="22"/>
              </w:rPr>
              <w:t xml:space="preserve">Получающей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Сторон</w:t>
            </w:r>
            <w:r w:rsidR="00FA7964" w:rsidRPr="00686EE7">
              <w:rPr>
                <w:rFonts w:ascii="Segoe UI" w:hAnsi="Segoe UI" w:cs="Segoe UI"/>
                <w:sz w:val="22"/>
                <w:szCs w:val="22"/>
              </w:rPr>
              <w:t>ой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применимого законодательства</w:t>
            </w:r>
            <w:r w:rsidR="00046680" w:rsidRPr="00686EE7">
              <w:rPr>
                <w:rFonts w:ascii="Segoe UI" w:hAnsi="Segoe UI" w:cs="Segoe UI"/>
                <w:sz w:val="22"/>
                <w:szCs w:val="22"/>
              </w:rPr>
              <w:t xml:space="preserve"> и конкретного </w:t>
            </w:r>
            <w:r w:rsidR="003E241B" w:rsidRPr="00686EE7">
              <w:rPr>
                <w:rFonts w:ascii="Segoe UI" w:hAnsi="Segoe UI" w:cs="Segoe UI"/>
                <w:sz w:val="22"/>
                <w:szCs w:val="22"/>
              </w:rPr>
              <w:t xml:space="preserve">письменного </w:t>
            </w:r>
            <w:r w:rsidR="00046680" w:rsidRPr="00686EE7">
              <w:rPr>
                <w:rFonts w:ascii="Segoe UI" w:hAnsi="Segoe UI" w:cs="Segoe UI"/>
                <w:sz w:val="22"/>
                <w:szCs w:val="22"/>
              </w:rPr>
              <w:t>запроса</w:t>
            </w:r>
            <w:r w:rsidR="003E241B" w:rsidRPr="00686EE7">
              <w:rPr>
                <w:rFonts w:ascii="Segoe UI" w:hAnsi="Segoe UI" w:cs="Segoe UI"/>
                <w:sz w:val="22"/>
                <w:szCs w:val="22"/>
              </w:rPr>
              <w:t xml:space="preserve">, содержащего сведения об </w:t>
            </w:r>
            <w:r w:rsidR="003E241B" w:rsidRPr="00686EE7">
              <w:rPr>
                <w:rFonts w:ascii="Segoe UI" w:hAnsi="Segoe UI" w:cs="Segoe UI"/>
                <w:sz w:val="22"/>
                <w:szCs w:val="22"/>
              </w:rPr>
              <w:lastRenderedPageBreak/>
              <w:t>объемах запрашиваемой информации, обоснования и оснований для направления такого запроса Получающей Стороне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. Передающая Сторона должна быть предварительно уведомлена о передаче такой Конфиденциальной информации в письменной форме с указанием объема и характера раскры</w:t>
            </w:r>
            <w:r w:rsidR="00046680" w:rsidRPr="00686EE7">
              <w:rPr>
                <w:rFonts w:ascii="Segoe UI" w:hAnsi="Segoe UI" w:cs="Segoe UI"/>
                <w:sz w:val="22"/>
                <w:szCs w:val="22"/>
              </w:rPr>
              <w:t>ваемой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информации. При этом Получающая Сторона должна предпринять все возможные меры в целях сокращения объема передаваемой Конфиденциальной информации.</w:t>
            </w:r>
          </w:p>
        </w:tc>
      </w:tr>
      <w:tr w:rsidR="00EB64FC" w:rsidRPr="00686EE7" w14:paraId="26246DCB" w14:textId="77777777" w:rsidTr="00442C24">
        <w:tc>
          <w:tcPr>
            <w:tcW w:w="10060" w:type="dxa"/>
          </w:tcPr>
          <w:p w14:paraId="0E8F2FAB" w14:textId="77777777" w:rsidR="00EB64FC" w:rsidRPr="00686EE7" w:rsidRDefault="00EB64FC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lastRenderedPageBreak/>
              <w:t>Принимающая Сторона гарантирует, что по настоящему Соглашению он выступает от своего имени, не от агента или брокера какого-либо лица, компании или фирмы.</w:t>
            </w:r>
          </w:p>
        </w:tc>
      </w:tr>
      <w:tr w:rsidR="007C6B6E" w:rsidRPr="00686EE7" w14:paraId="0BB6C583" w14:textId="77777777" w:rsidTr="00442C24">
        <w:tc>
          <w:tcPr>
            <w:tcW w:w="10060" w:type="dxa"/>
          </w:tcPr>
          <w:p w14:paraId="5E94C0D6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Стороны заблаговременно информируют друг друга о требованиях, предъявляемых нормативными актами и документами Сторон к защите Конфиденциальной информации в объеме, необходимом для выполнения Соглашения, а также об изменениях в таких нормативных актах и документах.</w:t>
            </w:r>
          </w:p>
        </w:tc>
      </w:tr>
      <w:tr w:rsidR="007C6B6E" w:rsidRPr="00686EE7" w14:paraId="79D3DF70" w14:textId="77777777" w:rsidTr="00442C24">
        <w:tc>
          <w:tcPr>
            <w:tcW w:w="10060" w:type="dxa"/>
          </w:tcPr>
          <w:p w14:paraId="7DC3D80D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Информация не подлежит определению как Конфиденциальная информация и 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>Получающая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Сторона не обязана соблюдать в ее отношении конфиденциальность, равно как и не должна быть ограничена в использовании такой информации в следующих случаях:</w:t>
            </w:r>
          </w:p>
          <w:p w14:paraId="5D446408" w14:textId="77777777" w:rsidR="007C6B6E" w:rsidRPr="00686EE7" w:rsidRDefault="007C6B6E" w:rsidP="00DC612C">
            <w:pPr>
              <w:numPr>
                <w:ilvl w:val="0"/>
                <w:numId w:val="4"/>
              </w:numPr>
              <w:ind w:left="42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Информация была известна или была получена 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>Получающей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Стороной без нарушения каких-либо требований/ограничений, и до раскрытия такой информации Передающей Стороной 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>Получающей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Стороне; </w:t>
            </w:r>
          </w:p>
          <w:p w14:paraId="23BE63BF" w14:textId="77777777" w:rsidR="007C6B6E" w:rsidRPr="00686EE7" w:rsidRDefault="007C6B6E" w:rsidP="00DC612C">
            <w:pPr>
              <w:numPr>
                <w:ilvl w:val="0"/>
                <w:numId w:val="4"/>
              </w:numPr>
              <w:ind w:left="42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Информация становится общеизвестной без нарушения, допущенного 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>Получающей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Стороной, и/или без нарушения каких-либо обязательств 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>Получающей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Стороны перед Передающей Стороной; </w:t>
            </w:r>
          </w:p>
          <w:p w14:paraId="5A054BE2" w14:textId="77777777" w:rsidR="007C6B6E" w:rsidRPr="00686EE7" w:rsidRDefault="007C6B6E" w:rsidP="00DC612C">
            <w:pPr>
              <w:numPr>
                <w:ilvl w:val="0"/>
                <w:numId w:val="4"/>
              </w:numPr>
              <w:ind w:left="42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Информация получена законным способом от третьих лиц, не связанных ограничениями в отношении использования и передачи такой информации;</w:t>
            </w:r>
          </w:p>
          <w:p w14:paraId="183D1178" w14:textId="77777777" w:rsidR="007C6B6E" w:rsidRPr="00686EE7" w:rsidRDefault="007C6B6E" w:rsidP="00113BD6">
            <w:pPr>
              <w:numPr>
                <w:ilvl w:val="0"/>
                <w:numId w:val="4"/>
              </w:numPr>
              <w:spacing w:after="120"/>
              <w:ind w:left="42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Передающая Сторона дала свое письменное согласие на раскрытие информации.</w:t>
            </w:r>
          </w:p>
        </w:tc>
      </w:tr>
      <w:tr w:rsidR="004B29C6" w:rsidRPr="00686EE7" w14:paraId="54743E29" w14:textId="77777777" w:rsidTr="00442C24">
        <w:tc>
          <w:tcPr>
            <w:tcW w:w="10060" w:type="dxa"/>
          </w:tcPr>
          <w:p w14:paraId="502FCA64" w14:textId="77777777" w:rsidR="004B29C6" w:rsidRPr="00686EE7" w:rsidRDefault="004B29C6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По мере отсутствия необходимости в ранее полученной Конфиденциальной информации в процессе исполнения договора оказания услуг, упомянутого в п. 1.3., а равно по достижению Цели, или досрочного расторжения, прекращения действия договора оказания услуг, Получающая Сторона обязана незамедлительно возвращать Передающей Стороне всю Конфиденциальную информацию, полученную на носителях</w:t>
            </w:r>
            <w:r w:rsidR="003E241B" w:rsidRPr="00686EE7">
              <w:rPr>
                <w:rFonts w:ascii="Segoe UI" w:hAnsi="Segoe UI" w:cs="Segoe UI"/>
                <w:sz w:val="22"/>
                <w:szCs w:val="22"/>
              </w:rPr>
              <w:t xml:space="preserve"> (оригиналы и копии)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, а также уничтожать без возможности восстановления, любые копии (включая электронные)</w:t>
            </w:r>
            <w:r w:rsidR="003E241B" w:rsidRPr="00686EE7">
              <w:rPr>
                <w:rFonts w:ascii="Segoe UI" w:hAnsi="Segoe UI" w:cs="Segoe UI"/>
                <w:sz w:val="22"/>
                <w:szCs w:val="22"/>
              </w:rPr>
              <w:t xml:space="preserve"> носителей с Конфиденциальной информацией, изготовленные Получающей Стороной. </w:t>
            </w:r>
          </w:p>
        </w:tc>
      </w:tr>
      <w:tr w:rsidR="001550EA" w:rsidRPr="00686EE7" w14:paraId="27A27CE4" w14:textId="77777777" w:rsidTr="00442C24">
        <w:tc>
          <w:tcPr>
            <w:tcW w:w="10060" w:type="dxa"/>
          </w:tcPr>
          <w:p w14:paraId="0A8190F3" w14:textId="77777777" w:rsidR="00FA7964" w:rsidRPr="00686EE7" w:rsidRDefault="001550EA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24FA3">
              <w:rPr>
                <w:rFonts w:ascii="Segoe UI" w:hAnsi="Segoe UI" w:cs="Segoe UI"/>
                <w:sz w:val="22"/>
                <w:szCs w:val="22"/>
              </w:rPr>
              <w:t>Стороны</w:t>
            </w:r>
            <w:r w:rsidRPr="00686EE7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соглашаются, что обязательства по конфиденциальности, изложенные в настоящем Соглашении, являются взаимными. В этой связи ТОО «Алаш Медиа Групп» принимает на себя зеркальные обязательства не раскрывать и не использовать конфиденциальную информацию ИП Шнейдмюллер, ставшую известной в процессе взаимодействия </w:t>
            </w:r>
            <w:r w:rsidR="00FA7964" w:rsidRPr="00686EE7">
              <w:rPr>
                <w:rFonts w:ascii="Segoe UI" w:hAnsi="Segoe UI" w:cs="Segoe UI"/>
                <w:color w:val="000000"/>
                <w:sz w:val="22"/>
                <w:szCs w:val="22"/>
              </w:rPr>
              <w:t>С</w:t>
            </w:r>
            <w:r w:rsidRPr="00686EE7">
              <w:rPr>
                <w:rFonts w:ascii="Segoe UI" w:hAnsi="Segoe UI" w:cs="Segoe UI"/>
                <w:color w:val="000000"/>
                <w:sz w:val="22"/>
                <w:szCs w:val="22"/>
              </w:rPr>
              <w:t>торон по настоящему Соглашению и любым связанным с ним договорам и переговорам, а также обязуется соблюдать все те же условия и стандарты защиты, что изложены в отношении Конфиденциальной информации Передающей стороны</w:t>
            </w:r>
            <w:r w:rsidR="00FA7964" w:rsidRPr="00686EE7">
              <w:rPr>
                <w:rFonts w:ascii="Segoe UI" w:hAnsi="Segoe UI" w:cs="Segoe UI"/>
                <w:color w:val="000000"/>
                <w:sz w:val="22"/>
                <w:szCs w:val="22"/>
              </w:rPr>
              <w:t>.</w:t>
            </w:r>
          </w:p>
        </w:tc>
      </w:tr>
      <w:tr w:rsidR="007C6B6E" w:rsidRPr="00686EE7" w14:paraId="0AF2C454" w14:textId="77777777" w:rsidTr="00442C24">
        <w:trPr>
          <w:trHeight w:val="238"/>
        </w:trPr>
        <w:tc>
          <w:tcPr>
            <w:tcW w:w="10060" w:type="dxa"/>
          </w:tcPr>
          <w:p w14:paraId="1F9DFCAA" w14:textId="77777777" w:rsidR="007C6B6E" w:rsidRPr="00686EE7" w:rsidRDefault="007C6B6E" w:rsidP="00113BD6">
            <w:pPr>
              <w:pStyle w:val="BodyTextIndent"/>
              <w:keepLines/>
              <w:numPr>
                <w:ilvl w:val="0"/>
                <w:numId w:val="1"/>
              </w:numPr>
              <w:spacing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ru-RU"/>
              </w:rPr>
            </w:pP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ОТВЕТСТВЕННОСТЬ И РАЗРЕШЕНИЕ СПОРОВ</w:t>
            </w:r>
          </w:p>
        </w:tc>
      </w:tr>
      <w:tr w:rsidR="007C6B6E" w:rsidRPr="00686EE7" w14:paraId="41A280CD" w14:textId="77777777" w:rsidTr="00442C24">
        <w:trPr>
          <w:trHeight w:val="872"/>
        </w:trPr>
        <w:tc>
          <w:tcPr>
            <w:tcW w:w="10060" w:type="dxa"/>
          </w:tcPr>
          <w:p w14:paraId="1E627155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Получающая Сторона несет ответственность за нарушение обязательств по сохранению конфиденциальности в соответствии с законодательством Республики Казахстан и Соглашением</w:t>
            </w:r>
            <w:r w:rsidR="00EB56FE" w:rsidRPr="00686EE7">
              <w:rPr>
                <w:rFonts w:ascii="Segoe UI" w:hAnsi="Segoe UI" w:cs="Segoe UI"/>
                <w:sz w:val="22"/>
                <w:szCs w:val="22"/>
              </w:rPr>
              <w:t>,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и обязана возместить Передающей Стороне</w:t>
            </w:r>
            <w:r w:rsidR="003C1874" w:rsidRPr="00686EE7">
              <w:rPr>
                <w:rFonts w:ascii="Segoe UI" w:hAnsi="Segoe UI" w:cs="Segoe UI"/>
                <w:sz w:val="22"/>
                <w:szCs w:val="22"/>
              </w:rPr>
              <w:t xml:space="preserve"> причиненные нарушением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убытки в полном объеме.</w:t>
            </w:r>
          </w:p>
        </w:tc>
      </w:tr>
      <w:tr w:rsidR="001A1B1F" w:rsidRPr="00686EE7" w14:paraId="73812F4A" w14:textId="77777777" w:rsidTr="00442C24">
        <w:trPr>
          <w:trHeight w:val="872"/>
        </w:trPr>
        <w:tc>
          <w:tcPr>
            <w:tcW w:w="10060" w:type="dxa"/>
          </w:tcPr>
          <w:p w14:paraId="123417C9" w14:textId="77777777" w:rsidR="001A1B1F" w:rsidRPr="00686EE7" w:rsidRDefault="001A1B1F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lastRenderedPageBreak/>
              <w:t>Стороны договорились, что дополнительно к денежной компенсации вследствие нарушения настоящего Соглашения</w:t>
            </w:r>
            <w:r w:rsidR="00EB56FE" w:rsidRPr="00686EE7">
              <w:rPr>
                <w:rFonts w:ascii="Segoe UI" w:hAnsi="Segoe UI" w:cs="Segoe UI"/>
                <w:sz w:val="22"/>
                <w:szCs w:val="22"/>
              </w:rPr>
              <w:t>,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Передающая Сторона будет иметь право требовать какого-либо иного реального исполнения или судебного запрета в качестве средства судебной защиты от нарушения или угрозы нарушения настоящего Соглашения, дополнительно к любым иным средствам правовой защиты в соответствии с применимым правом.</w:t>
            </w:r>
          </w:p>
        </w:tc>
      </w:tr>
      <w:tr w:rsidR="007C6B6E" w:rsidRPr="00686EE7" w14:paraId="2832F61E" w14:textId="77777777" w:rsidTr="00442C24">
        <w:trPr>
          <w:trHeight w:val="284"/>
        </w:trPr>
        <w:tc>
          <w:tcPr>
            <w:tcW w:w="10060" w:type="dxa"/>
          </w:tcPr>
          <w:p w14:paraId="3E002FB5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Получающая Сторона несет ответственность в полном объеме за разглашение Конфиденциальной информации 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>как им самим, так и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третьими лицами, получившими доступ к такой информации 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 xml:space="preserve">от Получающей Стороны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в соответствии с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 xml:space="preserve"> настоящим Соглашением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7C6B6E" w:rsidRPr="00686EE7" w14:paraId="39199105" w14:textId="77777777" w:rsidTr="00442C24">
        <w:tc>
          <w:tcPr>
            <w:tcW w:w="10060" w:type="dxa"/>
          </w:tcPr>
          <w:p w14:paraId="46189BB0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При разглашении Конфиденциальной информации или наличии угрозы разглашения Получающая Сторона обязана незамедлительно уведомить об этом Передающую Сторону.</w:t>
            </w:r>
          </w:p>
        </w:tc>
      </w:tr>
      <w:tr w:rsidR="007C6B6E" w:rsidRPr="00686EE7" w14:paraId="56965C18" w14:textId="77777777" w:rsidTr="00442C24">
        <w:tc>
          <w:tcPr>
            <w:tcW w:w="10060" w:type="dxa"/>
          </w:tcPr>
          <w:p w14:paraId="24DD3DBE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В случаях, предусмотренных действующим законодательством, Передающая Сторона вправе проводить проверки соблюдения Получающей Стороной обязательств по защите Конфиденциальной информации посредством направления соответствующих запросов и изучения необходимых документов.</w:t>
            </w:r>
          </w:p>
        </w:tc>
      </w:tr>
      <w:tr w:rsidR="001A1B1F" w:rsidRPr="00686EE7" w14:paraId="01B194C2" w14:textId="77777777" w:rsidTr="00442C24">
        <w:tc>
          <w:tcPr>
            <w:tcW w:w="10060" w:type="dxa"/>
          </w:tcPr>
          <w:p w14:paraId="6157D5CA" w14:textId="77777777" w:rsidR="001A1B1F" w:rsidRPr="00686EE7" w:rsidRDefault="001A1B1F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Каждая из Сторон настоящим признает и подтверждает, что ни при каких обстоятельствах настоящее Соглашение не может быть истолковано в качестве инструмента передачи каких-либо прав собственности на Конфиденциальную Информацию. Указанная Конфиденциальная Информация может быть использована исключительно </w:t>
            </w:r>
            <w:r w:rsidR="003C1874" w:rsidRPr="00686EE7">
              <w:rPr>
                <w:rFonts w:ascii="Segoe UI" w:hAnsi="Segoe UI" w:cs="Segoe UI"/>
                <w:sz w:val="22"/>
                <w:szCs w:val="22"/>
              </w:rPr>
              <w:t>для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3C1874" w:rsidRPr="00686EE7">
              <w:rPr>
                <w:rFonts w:ascii="Segoe UI" w:hAnsi="Segoe UI" w:cs="Segoe UI"/>
                <w:sz w:val="22"/>
                <w:szCs w:val="22"/>
              </w:rPr>
              <w:t>достижения Цели.</w:t>
            </w:r>
          </w:p>
        </w:tc>
      </w:tr>
      <w:tr w:rsidR="007C6B6E" w:rsidRPr="00686EE7" w14:paraId="04C0A4AD" w14:textId="77777777" w:rsidTr="00442C24">
        <w:tc>
          <w:tcPr>
            <w:tcW w:w="10060" w:type="dxa"/>
          </w:tcPr>
          <w:p w14:paraId="14A478F2" w14:textId="77777777" w:rsidR="007C6B6E" w:rsidRPr="00113BD6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Любые споры, возникшие в связи с настоящим Соглашением, включая любые вопросы в отношении существования Соглашения, его действительности и прекращения (далее каждый по отдельности именуется как «Спор») должны быть переданы на рассмотрение и окончательно урегулированы уполномоченным судом г. Алматы, Республика Казахстан.</w:t>
            </w:r>
          </w:p>
        </w:tc>
      </w:tr>
      <w:tr w:rsidR="00113BD6" w:rsidRPr="00686EE7" w14:paraId="040DE7A4" w14:textId="77777777" w:rsidTr="00442C24">
        <w:tc>
          <w:tcPr>
            <w:tcW w:w="10060" w:type="dxa"/>
          </w:tcPr>
          <w:p w14:paraId="6D7A3346" w14:textId="77777777" w:rsidR="00113BD6" w:rsidRPr="00686EE7" w:rsidRDefault="00113BD6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Применимым правом Соглашения является право Республики Казахстан.</w:t>
            </w:r>
          </w:p>
        </w:tc>
      </w:tr>
      <w:tr w:rsidR="007C6B6E" w:rsidRPr="00686EE7" w14:paraId="48ADB662" w14:textId="77777777" w:rsidTr="00442C24">
        <w:tc>
          <w:tcPr>
            <w:tcW w:w="10060" w:type="dxa"/>
          </w:tcPr>
          <w:p w14:paraId="247C1E93" w14:textId="77777777" w:rsidR="007C6B6E" w:rsidRPr="00686EE7" w:rsidRDefault="007C6B6E" w:rsidP="00113BD6">
            <w:pPr>
              <w:keepLines/>
              <w:numPr>
                <w:ilvl w:val="0"/>
                <w:numId w:val="1"/>
              </w:numPr>
              <w:spacing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СРОК ДЕЙСТВИЯ СОГЛАШЕНИЯ</w:t>
            </w:r>
          </w:p>
        </w:tc>
      </w:tr>
      <w:tr w:rsidR="007C6B6E" w:rsidRPr="00686EE7" w14:paraId="23BDB128" w14:textId="77777777" w:rsidTr="00442C24">
        <w:tc>
          <w:tcPr>
            <w:tcW w:w="10060" w:type="dxa"/>
          </w:tcPr>
          <w:p w14:paraId="4B3AA44B" w14:textId="61EF90F4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Настоящее Соглашение вступает в силу с даты его подписания Сторонами, указанной выше, и действует в течение </w:t>
            </w:r>
            <w:r w:rsidR="00043830" w:rsidRPr="00043830">
              <w:rPr>
                <w:rFonts w:ascii="Segoe UI" w:hAnsi="Segoe UI" w:cs="Segoe UI"/>
                <w:sz w:val="22"/>
                <w:szCs w:val="22"/>
              </w:rPr>
              <w:t>_</w:t>
            </w:r>
            <w:r w:rsidR="005A7EAC" w:rsidRPr="00686EE7">
              <w:rPr>
                <w:rFonts w:ascii="Segoe UI" w:hAnsi="Segoe UI" w:cs="Segoe UI"/>
                <w:sz w:val="22"/>
                <w:szCs w:val="22"/>
              </w:rPr>
              <w:t>__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5A7EAC" w:rsidRPr="00686EE7">
              <w:rPr>
                <w:rFonts w:ascii="Segoe UI" w:hAnsi="Segoe UI" w:cs="Segoe UI"/>
                <w:sz w:val="22"/>
                <w:szCs w:val="22"/>
              </w:rPr>
              <w:t>_____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) лет с даты последнего раскрытия Конфиденциальной информации Передающей Стороной.</w:t>
            </w:r>
          </w:p>
        </w:tc>
      </w:tr>
      <w:tr w:rsidR="007C6B6E" w:rsidRPr="00686EE7" w14:paraId="64C0A04A" w14:textId="77777777" w:rsidTr="00442C24">
        <w:trPr>
          <w:trHeight w:val="948"/>
        </w:trPr>
        <w:tc>
          <w:tcPr>
            <w:tcW w:w="10060" w:type="dxa"/>
          </w:tcPr>
          <w:p w14:paraId="3F421230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Обязательства Сторон по сохранению конфиденциальности, согласно настоящего Соглашения, распространяются на любое раскрытие Конфиденциальной информации, фактически имевшее место до подписания настоящего Соглашения.</w:t>
            </w:r>
          </w:p>
        </w:tc>
      </w:tr>
      <w:tr w:rsidR="007C6B6E" w:rsidRPr="00686EE7" w14:paraId="34A6FA8C" w14:textId="77777777" w:rsidTr="00442C24">
        <w:tc>
          <w:tcPr>
            <w:tcW w:w="10060" w:type="dxa"/>
          </w:tcPr>
          <w:p w14:paraId="4CD22374" w14:textId="77777777" w:rsidR="007C6B6E" w:rsidRPr="00686EE7" w:rsidRDefault="007C6B6E" w:rsidP="00113BD6">
            <w:pPr>
              <w:keepLines/>
              <w:numPr>
                <w:ilvl w:val="0"/>
                <w:numId w:val="1"/>
              </w:numPr>
              <w:spacing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ОБЩИЕ ПОЛОЖЕНИЯ</w:t>
            </w:r>
          </w:p>
        </w:tc>
      </w:tr>
      <w:tr w:rsidR="007C6B6E" w:rsidRPr="00686EE7" w14:paraId="205969E8" w14:textId="77777777" w:rsidTr="00442C24">
        <w:tc>
          <w:tcPr>
            <w:tcW w:w="10060" w:type="dxa"/>
          </w:tcPr>
          <w:p w14:paraId="04E6ABCC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Получающая Сторона уведомит Передающую Сторону о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 xml:space="preserve"> каналах передачи ему Конфиденциальной информации, обеспечивающих достаточную защиту передаваемой информации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, не позднее 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>2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B649A1" w:rsidRPr="00686EE7">
              <w:rPr>
                <w:rFonts w:ascii="Segoe UI" w:hAnsi="Segoe UI" w:cs="Segoe UI"/>
                <w:sz w:val="22"/>
                <w:szCs w:val="22"/>
              </w:rPr>
              <w:t>двух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) календарных дней со дня вступления в силу Соглашения. </w:t>
            </w:r>
          </w:p>
        </w:tc>
      </w:tr>
      <w:tr w:rsidR="007C6B6E" w:rsidRPr="00686EE7" w14:paraId="4AB8A2E2" w14:textId="77777777" w:rsidTr="00442C24">
        <w:tc>
          <w:tcPr>
            <w:tcW w:w="10060" w:type="dxa"/>
          </w:tcPr>
          <w:p w14:paraId="2140B6FC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Передающая Сторона настоящим гарантирует, что она обладает всеми правами в отношении Конфиденциальной информации, включая право раскрывать её Получающей Стороне на условиях Соглашения.</w:t>
            </w:r>
          </w:p>
        </w:tc>
      </w:tr>
      <w:tr w:rsidR="007C6B6E" w:rsidRPr="00686EE7" w14:paraId="4523825C" w14:textId="77777777" w:rsidTr="00442C24">
        <w:tc>
          <w:tcPr>
            <w:tcW w:w="10060" w:type="dxa"/>
          </w:tcPr>
          <w:p w14:paraId="284DA0EE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Конфиденциальная информация остается собственностью Передающей Стороны. Передающая Сторона вправе потребовать от Получающей Стороны вернуть ей всю Конфиденциальную информацию или любую ее часть в любое время, направив Получающей Стороне уведомление в письменной форме. В течение </w:t>
            </w:r>
            <w:r w:rsidR="00D6167C" w:rsidRPr="00686EE7">
              <w:rPr>
                <w:rFonts w:ascii="Segoe UI" w:hAnsi="Segoe UI" w:cs="Segoe UI"/>
                <w:sz w:val="22"/>
                <w:szCs w:val="22"/>
              </w:rPr>
              <w:t>24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D6167C" w:rsidRPr="00686EE7">
              <w:rPr>
                <w:rFonts w:ascii="Segoe UI" w:hAnsi="Segoe UI" w:cs="Segoe UI"/>
                <w:sz w:val="22"/>
                <w:szCs w:val="22"/>
              </w:rPr>
              <w:t>двадцати четырех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) </w:t>
            </w:r>
            <w:r w:rsidR="00D6167C" w:rsidRPr="00686EE7">
              <w:rPr>
                <w:rFonts w:ascii="Segoe UI" w:hAnsi="Segoe UI" w:cs="Segoe UI"/>
                <w:sz w:val="22"/>
                <w:szCs w:val="22"/>
              </w:rPr>
              <w:t xml:space="preserve">часов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после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получения такого уведомления Получающая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Получающей Стороны, а также в распоряжении третьих лиц, которым Конфиденциальная информация </w:t>
            </w:r>
            <w:r w:rsidR="00D6167C" w:rsidRPr="00686EE7">
              <w:rPr>
                <w:rFonts w:ascii="Segoe UI" w:hAnsi="Segoe UI" w:cs="Segoe UI"/>
                <w:sz w:val="22"/>
                <w:szCs w:val="22"/>
              </w:rPr>
              <w:t xml:space="preserve">могла быть 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 xml:space="preserve">передана </w:t>
            </w:r>
            <w:r w:rsidR="00D6167C" w:rsidRPr="00686EE7">
              <w:rPr>
                <w:rFonts w:ascii="Segoe UI" w:hAnsi="Segoe UI" w:cs="Segoe UI"/>
                <w:sz w:val="22"/>
                <w:szCs w:val="22"/>
              </w:rPr>
              <w:t>Получающей Стороной</w:t>
            </w:r>
            <w:r w:rsidRPr="00686EE7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7C6B6E" w:rsidRPr="00686EE7" w14:paraId="62F705DC" w14:textId="77777777" w:rsidTr="00442C24">
        <w:tc>
          <w:tcPr>
            <w:tcW w:w="10060" w:type="dxa"/>
          </w:tcPr>
          <w:p w14:paraId="7E4CCA3A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lastRenderedPageBreak/>
              <w:t>Получающая Сторона должна обеспечить конфиденциальность Соглашения и не вправе раскрывать третьим лицам какие-либо сведения относительно предоставления Конфиденциальной информации по Соглашению, кроме случаев разрешенного раскрытия согласно статье 3.</w:t>
            </w:r>
          </w:p>
        </w:tc>
      </w:tr>
      <w:tr w:rsidR="007C6B6E" w:rsidRPr="00686EE7" w14:paraId="170B5269" w14:textId="77777777" w:rsidTr="00442C24">
        <w:tc>
          <w:tcPr>
            <w:tcW w:w="10060" w:type="dxa"/>
          </w:tcPr>
          <w:p w14:paraId="39A8AD40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Любые изменения и дополнения к Соглашению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      </w:r>
          </w:p>
        </w:tc>
      </w:tr>
      <w:tr w:rsidR="007C6B6E" w:rsidRPr="00686EE7" w14:paraId="4E159DCC" w14:textId="77777777" w:rsidTr="00442C24">
        <w:tc>
          <w:tcPr>
            <w:tcW w:w="10060" w:type="dxa"/>
          </w:tcPr>
          <w:p w14:paraId="286537AD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Настоящее Соглашение представляет собой исчерпывающую договоренность Сторон по предмету Соглашения. С даты подписания Соглашения, указанной выше, все предыдущие переговоры и переписка по нему теряют силу.</w:t>
            </w:r>
          </w:p>
        </w:tc>
      </w:tr>
      <w:tr w:rsidR="007C6B6E" w:rsidRPr="00686EE7" w14:paraId="51786E6F" w14:textId="77777777" w:rsidTr="00442C24">
        <w:tc>
          <w:tcPr>
            <w:tcW w:w="10060" w:type="dxa"/>
          </w:tcPr>
          <w:p w14:paraId="2E536C8F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      </w:r>
          </w:p>
        </w:tc>
      </w:tr>
      <w:tr w:rsidR="007C6B6E" w:rsidRPr="00686EE7" w14:paraId="481245A3" w14:textId="77777777" w:rsidTr="00442C24">
        <w:tc>
          <w:tcPr>
            <w:tcW w:w="10060" w:type="dxa"/>
          </w:tcPr>
          <w:p w14:paraId="143172EA" w14:textId="77777777" w:rsidR="007C6B6E" w:rsidRPr="00686EE7" w:rsidRDefault="007C6B6E" w:rsidP="00424FA3">
            <w:pPr>
              <w:keepLines/>
              <w:numPr>
                <w:ilvl w:val="1"/>
                <w:numId w:val="1"/>
              </w:numPr>
              <w:tabs>
                <w:tab w:val="clear" w:pos="720"/>
                <w:tab w:val="num" w:pos="456"/>
              </w:tabs>
              <w:spacing w:after="24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Настоящее Соглашение заключено в двух экземплярах, имеющих равную юридическую силу, по одному для каждой из Сторон.</w:t>
            </w:r>
          </w:p>
        </w:tc>
      </w:tr>
      <w:tr w:rsidR="007C6B6E" w:rsidRPr="00686EE7" w14:paraId="0DEE6874" w14:textId="77777777" w:rsidTr="00442C24">
        <w:tc>
          <w:tcPr>
            <w:tcW w:w="10060" w:type="dxa"/>
          </w:tcPr>
          <w:p w14:paraId="000654C3" w14:textId="77777777" w:rsidR="007C6B6E" w:rsidRPr="00686EE7" w:rsidRDefault="007C6B6E" w:rsidP="00113BD6">
            <w:pPr>
              <w:keepLines/>
              <w:numPr>
                <w:ilvl w:val="0"/>
                <w:numId w:val="1"/>
              </w:numPr>
              <w:spacing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АДРЕСА</w:t>
            </w: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</w:rPr>
              <w:t>СТОРОН</w:t>
            </w:r>
          </w:p>
        </w:tc>
      </w:tr>
      <w:tr w:rsidR="007C6B6E" w:rsidRPr="00686EE7" w14:paraId="55397B14" w14:textId="77777777" w:rsidTr="00442C24">
        <w:trPr>
          <w:trHeight w:val="2256"/>
        </w:trPr>
        <w:tc>
          <w:tcPr>
            <w:tcW w:w="100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BE7DB9" w14:paraId="5EA7FA46" w14:textId="77777777" w:rsidTr="00BE7DB9">
              <w:tc>
                <w:tcPr>
                  <w:tcW w:w="4917" w:type="dxa"/>
                </w:tcPr>
                <w:p w14:paraId="5B26E25D" w14:textId="77777777" w:rsidR="00BE7DB9" w:rsidRPr="00BE7DB9" w:rsidRDefault="00BE7DB9" w:rsidP="00BE7DB9">
                  <w:pPr>
                    <w:pStyle w:val="Heading4"/>
                    <w:framePr w:hSpace="180" w:wrap="around" w:hAnchor="margin" w:x="272" w:y="405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  <w:t>Передающая Сторона</w:t>
                  </w:r>
                </w:p>
                <w:p w14:paraId="7DC6FCA6" w14:textId="77777777" w:rsidR="00BE7DB9" w:rsidRPr="00686EE7" w:rsidRDefault="00BE7DB9" w:rsidP="00BE7DB9">
                  <w:pPr>
                    <w:framePr w:hSpace="180" w:wrap="around" w:hAnchor="margin" w:x="272" w:y="405"/>
                    <w:spacing w:after="120"/>
                    <w:jc w:val="both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sz w:val="22"/>
                      <w:szCs w:val="22"/>
                    </w:rPr>
                    <w:t>ТОО «</w:t>
                  </w:r>
                  <w:r w:rsidRPr="00BE7DB9">
                    <w:rPr>
                      <w:rFonts w:ascii="Segoe UI" w:hAnsi="Segoe UI" w:cs="Segoe UI"/>
                      <w:sz w:val="22"/>
                      <w:szCs w:val="22"/>
                    </w:rPr>
                    <w:t>______________________</w:t>
                  </w:r>
                  <w:r w:rsidRPr="00686EE7">
                    <w:rPr>
                      <w:rFonts w:ascii="Segoe UI" w:hAnsi="Segoe UI" w:cs="Segoe UI"/>
                      <w:sz w:val="22"/>
                      <w:szCs w:val="22"/>
                    </w:rPr>
                    <w:t>»</w:t>
                  </w:r>
                </w:p>
                <w:p w14:paraId="55D7579A" w14:textId="77777777" w:rsidR="00BE7DB9" w:rsidRPr="00686EE7" w:rsidRDefault="00BE7DB9" w:rsidP="00BE7DB9">
                  <w:pPr>
                    <w:framePr w:hSpace="180" w:wrap="around" w:hAnchor="margin" w:x="272" w:y="405"/>
                    <w:spacing w:after="120"/>
                    <w:jc w:val="both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sz w:val="22"/>
                      <w:szCs w:val="22"/>
                    </w:rPr>
                    <w:t xml:space="preserve">Республика Казахстан, г. _________, </w:t>
                  </w:r>
                </w:p>
                <w:p w14:paraId="4C2F5582" w14:textId="77777777" w:rsidR="00BE7DB9" w:rsidRDefault="00BE7DB9" w:rsidP="00BE7DB9">
                  <w:pPr>
                    <w:framePr w:hSpace="180" w:wrap="around" w:hAnchor="margin" w:x="272" w:y="405"/>
                    <w:spacing w:after="120"/>
                    <w:jc w:val="both"/>
                    <w:rPr>
                      <w:rFonts w:ascii="Segoe UI" w:hAnsi="Segoe UI" w:cs="Segoe UI"/>
                      <w:sz w:val="22"/>
                      <w:szCs w:val="22"/>
                      <w:lang w:val="en-US"/>
                    </w:rPr>
                  </w:pPr>
                  <w:r w:rsidRPr="00686EE7">
                    <w:rPr>
                      <w:rFonts w:ascii="Segoe UI" w:hAnsi="Segoe UI" w:cs="Segoe UI"/>
                      <w:sz w:val="22"/>
                      <w:szCs w:val="22"/>
                    </w:rPr>
                    <w:t xml:space="preserve">БИН </w:t>
                  </w:r>
                  <w:r w:rsidRPr="00BE7DB9">
                    <w:rPr>
                      <w:rFonts w:ascii="Segoe UI" w:hAnsi="Segoe UI" w:cs="Segoe UI"/>
                      <w:sz w:val="22"/>
                      <w:szCs w:val="22"/>
                    </w:rPr>
                    <w:t>__________________</w:t>
                  </w:r>
                </w:p>
                <w:p w14:paraId="1C40328D" w14:textId="40472786" w:rsidR="00BE7DB9" w:rsidRPr="00BE7DB9" w:rsidRDefault="00BE7DB9" w:rsidP="00BE7DB9">
                  <w:pPr>
                    <w:framePr w:hSpace="180" w:wrap="around" w:hAnchor="margin" w:x="272" w:y="405"/>
                    <w:spacing w:after="120"/>
                    <w:jc w:val="both"/>
                    <w:rPr>
                      <w:rFonts w:ascii="Segoe UI" w:hAnsi="Segoe UI" w:cs="Segoe U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917" w:type="dxa"/>
                </w:tcPr>
                <w:p w14:paraId="2697018A" w14:textId="77777777" w:rsidR="00BE7DB9" w:rsidRPr="00686EE7" w:rsidRDefault="00BE7DB9" w:rsidP="00BE7DB9">
                  <w:pPr>
                    <w:pStyle w:val="Heading4"/>
                    <w:framePr w:hSpace="180" w:wrap="around" w:hAnchor="margin" w:x="272" w:y="405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  <w:t>Получающая сторона</w:t>
                  </w:r>
                </w:p>
                <w:p w14:paraId="05BB6913" w14:textId="77777777" w:rsidR="008821F7" w:rsidRPr="001B3921" w:rsidRDefault="008821F7" w:rsidP="008821F7">
                  <w:pPr>
                    <w:pStyle w:val="Footer"/>
                    <w:contextualSpacing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1B3921">
                    <w:rPr>
                      <w:rFonts w:ascii="Segoe UI" w:hAnsi="Segoe UI" w:cs="Segoe UI"/>
                      <w:sz w:val="22"/>
                      <w:szCs w:val="22"/>
                    </w:rPr>
                    <w:t>ТОО "</w:t>
                  </w:r>
                  <w:r w:rsidRPr="001B3921">
                    <w:rPr>
                      <w:rFonts w:ascii="Segoe UI" w:hAnsi="Segoe UI" w:cs="Segoe UI"/>
                      <w:sz w:val="22"/>
                      <w:szCs w:val="22"/>
                      <w:lang w:val="en-US"/>
                    </w:rPr>
                    <w:t>HR</w:t>
                  </w:r>
                  <w:r w:rsidRPr="001B3921">
                    <w:rPr>
                      <w:rFonts w:ascii="Segoe UI" w:hAnsi="Segoe UI" w:cs="Segoe UI"/>
                      <w:sz w:val="22"/>
                      <w:szCs w:val="22"/>
                    </w:rPr>
                    <w:t>-</w:t>
                  </w:r>
                  <w:r w:rsidRPr="001B3921">
                    <w:rPr>
                      <w:rFonts w:ascii="Segoe UI" w:hAnsi="Segoe UI" w:cs="Segoe UI"/>
                      <w:sz w:val="22"/>
                      <w:szCs w:val="22"/>
                      <w:lang w:val="en-US"/>
                    </w:rPr>
                    <w:t>practice</w:t>
                  </w:r>
                  <w:r w:rsidRPr="001B3921">
                    <w:rPr>
                      <w:rFonts w:ascii="Segoe UI" w:hAnsi="Segoe UI" w:cs="Segoe UI"/>
                      <w:sz w:val="22"/>
                      <w:szCs w:val="22"/>
                    </w:rPr>
                    <w:t xml:space="preserve"> </w:t>
                  </w:r>
                  <w:r w:rsidRPr="001B3921">
                    <w:rPr>
                      <w:rFonts w:ascii="Segoe UI" w:hAnsi="Segoe UI" w:cs="Segoe UI"/>
                      <w:sz w:val="22"/>
                      <w:szCs w:val="22"/>
                      <w:lang w:val="en-US"/>
                    </w:rPr>
                    <w:t>Kazakhstan</w:t>
                  </w:r>
                  <w:r w:rsidRPr="001B3921">
                    <w:rPr>
                      <w:rFonts w:ascii="Segoe UI" w:hAnsi="Segoe UI" w:cs="Segoe UI"/>
                      <w:sz w:val="22"/>
                      <w:szCs w:val="22"/>
                    </w:rPr>
                    <w:t xml:space="preserve"> (Эйч Ар-практик Казахстан)"</w:t>
                  </w:r>
                </w:p>
                <w:p w14:paraId="01BABD12" w14:textId="77777777" w:rsidR="008821F7" w:rsidRPr="001B3921" w:rsidRDefault="008821F7" w:rsidP="008821F7">
                  <w:pPr>
                    <w:pStyle w:val="Footer"/>
                    <w:contextualSpacing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1B3921">
                    <w:rPr>
                      <w:rFonts w:ascii="Segoe UI" w:hAnsi="Segoe UI" w:cs="Segoe UI"/>
                      <w:sz w:val="22"/>
                      <w:szCs w:val="22"/>
                    </w:rPr>
                    <w:t xml:space="preserve">Республика Казахстан, г. Алматы, </w:t>
                  </w:r>
                </w:p>
                <w:p w14:paraId="73F413BC" w14:textId="77777777" w:rsidR="008821F7" w:rsidRPr="001B3921" w:rsidRDefault="008821F7" w:rsidP="008821F7">
                  <w:pPr>
                    <w:pStyle w:val="Footer"/>
                    <w:contextualSpacing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1B3921">
                    <w:rPr>
                      <w:rFonts w:ascii="Segoe UI" w:hAnsi="Segoe UI" w:cs="Segoe UI"/>
                      <w:sz w:val="22"/>
                      <w:szCs w:val="22"/>
                    </w:rPr>
                    <w:t>Ул. Ауэзова дом 12\20</w:t>
                  </w:r>
                </w:p>
                <w:p w14:paraId="75A5F5FA" w14:textId="77777777" w:rsidR="008821F7" w:rsidRPr="001B3921" w:rsidRDefault="008821F7" w:rsidP="008821F7">
                  <w:pPr>
                    <w:pStyle w:val="Footer"/>
                    <w:contextualSpacing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1B3921">
                    <w:rPr>
                      <w:rFonts w:ascii="Segoe UI" w:hAnsi="Segoe UI" w:cs="Segoe UI"/>
                      <w:sz w:val="22"/>
                      <w:szCs w:val="22"/>
                    </w:rPr>
                    <w:t>БИН: 130940001125</w:t>
                  </w:r>
                </w:p>
                <w:p w14:paraId="65E00836" w14:textId="7ADA7120" w:rsidR="00BE7DB9" w:rsidRPr="008821F7" w:rsidRDefault="008821F7" w:rsidP="008821F7">
                  <w:pPr>
                    <w:pStyle w:val="Heading4"/>
                    <w:framePr w:hSpace="180" w:wrap="around" w:hAnchor="margin" w:x="272" w:y="405"/>
                    <w:spacing w:after="240" w:line="240" w:lineRule="auto"/>
                    <w:rPr>
                      <w:rFonts w:ascii="Segoe UI" w:hAnsi="Segoe UI" w:cs="Segoe UI"/>
                      <w:b w:val="0"/>
                      <w:bCs/>
                      <w:sz w:val="22"/>
                      <w:szCs w:val="22"/>
                      <w:lang w:val="en-US"/>
                    </w:rPr>
                  </w:pPr>
                  <w:r w:rsidRPr="008821F7">
                    <w:rPr>
                      <w:rFonts w:ascii="Segoe UI" w:hAnsi="Segoe UI" w:cs="Segoe UI"/>
                      <w:b w:val="0"/>
                      <w:bCs/>
                      <w:sz w:val="22"/>
                      <w:szCs w:val="22"/>
                    </w:rPr>
                    <w:t>Тел. +7 (727) 354-37-99</w:t>
                  </w:r>
                </w:p>
              </w:tc>
            </w:tr>
          </w:tbl>
          <w:p w14:paraId="5F86E62F" w14:textId="3D2DF183" w:rsidR="007C6B6E" w:rsidRPr="00BE7DB9" w:rsidRDefault="007C6B6E" w:rsidP="00BE7DB9">
            <w:pPr>
              <w:spacing w:after="120"/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7C6B6E" w:rsidRPr="00686EE7" w14:paraId="6C579EAE" w14:textId="77777777" w:rsidTr="00442C24">
        <w:trPr>
          <w:trHeight w:val="80"/>
        </w:trPr>
        <w:tc>
          <w:tcPr>
            <w:tcW w:w="10060" w:type="dxa"/>
          </w:tcPr>
          <w:p w14:paraId="19339E96" w14:textId="77777777" w:rsidR="007C6B6E" w:rsidRPr="00686EE7" w:rsidRDefault="003C09EA" w:rsidP="00113BD6">
            <w:pPr>
              <w:numPr>
                <w:ilvl w:val="0"/>
                <w:numId w:val="1"/>
              </w:numPr>
              <w:spacing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686EE7">
              <w:rPr>
                <w:rFonts w:ascii="Segoe UI" w:hAnsi="Segoe UI" w:cs="Segoe UI"/>
                <w:b/>
                <w:bCs/>
                <w:sz w:val="22"/>
                <w:szCs w:val="22"/>
                <w:lang w:val="en-GB"/>
              </w:rPr>
              <w:t>ПОДПИСИ СТОРОН</w:t>
            </w:r>
          </w:p>
        </w:tc>
      </w:tr>
      <w:tr w:rsidR="007C6B6E" w:rsidRPr="00686EE7" w14:paraId="6632F908" w14:textId="77777777" w:rsidTr="00442C24">
        <w:tc>
          <w:tcPr>
            <w:tcW w:w="10060" w:type="dxa"/>
          </w:tcPr>
          <w:p w14:paraId="786F7045" w14:textId="77777777" w:rsidR="007C6B6E" w:rsidRPr="00686EE7" w:rsidRDefault="007C6B6E" w:rsidP="00113BD6">
            <w:pPr>
              <w:keepLines/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686EE7">
              <w:rPr>
                <w:rFonts w:ascii="Segoe UI" w:hAnsi="Segoe UI" w:cs="Segoe UI"/>
                <w:sz w:val="22"/>
                <w:szCs w:val="22"/>
              </w:rPr>
              <w:t>В ПОДТВЕРЖДЕНИЕ ЧЕГО Стороны надлежащим образом подписали настоящее Соглашение в день, указанный вверху первой страницы Соглашения.</w:t>
            </w:r>
          </w:p>
        </w:tc>
      </w:tr>
      <w:tr w:rsidR="007C6B6E" w:rsidRPr="00686EE7" w14:paraId="5A5EAE27" w14:textId="77777777" w:rsidTr="00442C24">
        <w:tc>
          <w:tcPr>
            <w:tcW w:w="100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BE7DB9" w14:paraId="6D15A4BB" w14:textId="77777777" w:rsidTr="00BE7DB9">
              <w:tc>
                <w:tcPr>
                  <w:tcW w:w="4917" w:type="dxa"/>
                </w:tcPr>
                <w:p w14:paraId="4C74FE7E" w14:textId="77777777" w:rsidR="00BE7DB9" w:rsidRPr="00043830" w:rsidRDefault="00BE7DB9" w:rsidP="00BE7DB9">
                  <w:pPr>
                    <w:pStyle w:val="Heading4"/>
                    <w:framePr w:hSpace="180" w:wrap="around" w:hAnchor="margin" w:x="272" w:y="405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  <w:t xml:space="preserve">От имени </w:t>
                  </w:r>
                </w:p>
                <w:p w14:paraId="160DC75B" w14:textId="26FCB3A9" w:rsidR="00BE7DB9" w:rsidRPr="00043830" w:rsidRDefault="00BE7DB9" w:rsidP="00BE7DB9">
                  <w:pPr>
                    <w:pStyle w:val="Heading4"/>
                    <w:framePr w:hSpace="180" w:wrap="around" w:hAnchor="margin" w:x="272" w:y="405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  <w:t xml:space="preserve">Передающей стороны </w:t>
                  </w:r>
                </w:p>
                <w:p w14:paraId="5291B22C" w14:textId="77777777" w:rsidR="00BE7DB9" w:rsidRPr="00A66D47" w:rsidRDefault="00BE7DB9" w:rsidP="00A66D47">
                  <w:pPr>
                    <w:pStyle w:val="Heading4"/>
                    <w:framePr w:hSpace="180" w:wrap="around" w:hAnchor="margin" w:x="272" w:y="405"/>
                    <w:spacing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</w:p>
                <w:p w14:paraId="075AF661" w14:textId="77777777" w:rsidR="00A66D47" w:rsidRPr="00A66D47" w:rsidRDefault="00A66D47" w:rsidP="00A66D47">
                  <w:pPr>
                    <w:framePr w:hSpace="180" w:wrap="around" w:hAnchor="margin" w:x="272" w:y="405"/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  <w:p w14:paraId="76AAD3E6" w14:textId="77777777" w:rsidR="00A66D47" w:rsidRPr="00A66D47" w:rsidRDefault="00A66D47" w:rsidP="00A66D47">
                  <w:pPr>
                    <w:framePr w:hSpace="180" w:wrap="around" w:hAnchor="margin" w:x="272" w:y="405"/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  <w:p w14:paraId="68B8ECC7" w14:textId="29A5A402" w:rsidR="00BE7DB9" w:rsidRPr="00686EE7" w:rsidRDefault="00BE7DB9" w:rsidP="00BE7DB9">
                  <w:pPr>
                    <w:pStyle w:val="Heading4"/>
                    <w:framePr w:hSpace="180" w:wrap="around" w:hAnchor="margin" w:x="272" w:y="405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  <w:t xml:space="preserve">________________ </w:t>
                  </w:r>
                </w:p>
                <w:p w14:paraId="61AFFD30" w14:textId="09C97DB2" w:rsidR="00442C24" w:rsidRPr="00A66D47" w:rsidRDefault="00BE7DB9" w:rsidP="00A66D47">
                  <w:pPr>
                    <w:framePr w:hSpace="180" w:wrap="around" w:hAnchor="margin" w:x="272" w:y="405"/>
                    <w:spacing w:after="120"/>
                    <w:jc w:val="both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sz w:val="22"/>
                      <w:szCs w:val="22"/>
                    </w:rPr>
                    <w:t xml:space="preserve">              М.П. </w:t>
                  </w:r>
                </w:p>
                <w:p w14:paraId="5253B7A0" w14:textId="77777777" w:rsidR="00442C24" w:rsidRPr="00442C24" w:rsidRDefault="00442C24" w:rsidP="00442C24">
                  <w:pPr>
                    <w:framePr w:hSpace="180" w:wrap="around" w:hAnchor="margin" w:x="272" w:y="405"/>
                  </w:pPr>
                </w:p>
              </w:tc>
              <w:tc>
                <w:tcPr>
                  <w:tcW w:w="4917" w:type="dxa"/>
                </w:tcPr>
                <w:p w14:paraId="095DC1F9" w14:textId="77777777" w:rsidR="00BE7DB9" w:rsidRPr="00043830" w:rsidRDefault="00BE7DB9" w:rsidP="00BE7DB9">
                  <w:pPr>
                    <w:pStyle w:val="Heading4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  <w:t xml:space="preserve">От имени </w:t>
                  </w:r>
                </w:p>
                <w:p w14:paraId="779FBCBF" w14:textId="4785221A" w:rsidR="00BE7DB9" w:rsidRPr="00043830" w:rsidRDefault="00BE7DB9" w:rsidP="00BE7DB9">
                  <w:pPr>
                    <w:pStyle w:val="Heading4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  <w:t xml:space="preserve">Получающей стороны </w:t>
                  </w:r>
                </w:p>
                <w:p w14:paraId="5DA2B041" w14:textId="77777777" w:rsidR="00A66D47" w:rsidRPr="00A66D47" w:rsidRDefault="00A66D47" w:rsidP="00A66D47">
                  <w:pPr>
                    <w:pStyle w:val="Heading4"/>
                    <w:spacing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</w:p>
                <w:p w14:paraId="45508DD2" w14:textId="77777777" w:rsidR="00A66D47" w:rsidRPr="00A66D47" w:rsidRDefault="00A66D47" w:rsidP="00A66D47">
                  <w:pPr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  <w:p w14:paraId="43E7DF0D" w14:textId="77777777" w:rsidR="00BE7DB9" w:rsidRPr="00043830" w:rsidRDefault="00BE7DB9" w:rsidP="00A66D47">
                  <w:pPr>
                    <w:pStyle w:val="Heading4"/>
                    <w:spacing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</w:p>
                <w:p w14:paraId="11283058" w14:textId="4618E3CC" w:rsidR="00BE7DB9" w:rsidRPr="00BE7DB9" w:rsidRDefault="00BE7DB9" w:rsidP="00BE7DB9">
                  <w:pPr>
                    <w:pStyle w:val="Heading4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  <w:t xml:space="preserve">________________ </w:t>
                  </w:r>
                </w:p>
                <w:p w14:paraId="4DD36D85" w14:textId="77777777" w:rsidR="00BE7DB9" w:rsidRPr="00686EE7" w:rsidRDefault="00BE7DB9" w:rsidP="00BE7DB9">
                  <w:pPr>
                    <w:spacing w:after="120"/>
                    <w:jc w:val="both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686EE7">
                    <w:rPr>
                      <w:rFonts w:ascii="Segoe UI" w:hAnsi="Segoe UI" w:cs="Segoe UI"/>
                      <w:sz w:val="22"/>
                      <w:szCs w:val="22"/>
                    </w:rPr>
                    <w:t xml:space="preserve">              М</w:t>
                  </w:r>
                  <w:r w:rsidRPr="00BE7DB9">
                    <w:rPr>
                      <w:rFonts w:ascii="Segoe UI" w:hAnsi="Segoe UI" w:cs="Segoe UI"/>
                      <w:sz w:val="22"/>
                      <w:szCs w:val="22"/>
                    </w:rPr>
                    <w:t>.</w:t>
                  </w:r>
                  <w:r w:rsidRPr="00686EE7">
                    <w:rPr>
                      <w:rFonts w:ascii="Segoe UI" w:hAnsi="Segoe UI" w:cs="Segoe UI"/>
                      <w:sz w:val="22"/>
                      <w:szCs w:val="22"/>
                    </w:rPr>
                    <w:t>П</w:t>
                  </w:r>
                  <w:r w:rsidRPr="00BE7DB9">
                    <w:rPr>
                      <w:rFonts w:ascii="Segoe UI" w:hAnsi="Segoe UI" w:cs="Segoe UI"/>
                      <w:sz w:val="22"/>
                      <w:szCs w:val="22"/>
                    </w:rPr>
                    <w:t xml:space="preserve">. </w:t>
                  </w:r>
                </w:p>
                <w:p w14:paraId="70B8655D" w14:textId="77777777" w:rsidR="00BE7DB9" w:rsidRPr="00043830" w:rsidRDefault="00BE7DB9" w:rsidP="00113BD6">
                  <w:pPr>
                    <w:pStyle w:val="Heading4"/>
                    <w:framePr w:hSpace="180" w:wrap="around" w:hAnchor="margin" w:x="272" w:y="405"/>
                    <w:spacing w:after="120" w:line="240" w:lineRule="auto"/>
                    <w:rPr>
                      <w:rFonts w:ascii="Segoe UI" w:hAnsi="Segoe UI" w:cs="Segoe UI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705079D4" w14:textId="77777777" w:rsidR="00160ADD" w:rsidRPr="00043830" w:rsidRDefault="00160ADD" w:rsidP="00BE7DB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D4BFCFC" w14:textId="77777777" w:rsidR="00B863F5" w:rsidRPr="00686EE7" w:rsidRDefault="00B863F5" w:rsidP="00113BD6">
      <w:pPr>
        <w:keepLines/>
        <w:spacing w:after="120"/>
        <w:jc w:val="both"/>
        <w:rPr>
          <w:rFonts w:ascii="Segoe UI" w:hAnsi="Segoe UI" w:cs="Segoe UI"/>
          <w:sz w:val="22"/>
          <w:szCs w:val="22"/>
        </w:rPr>
      </w:pPr>
    </w:p>
    <w:sectPr w:rsidR="00B863F5" w:rsidRPr="00686EE7" w:rsidSect="00E52051">
      <w:footerReference w:type="even" r:id="rId8"/>
      <w:footerReference w:type="default" r:id="rId9"/>
      <w:pgSz w:w="12240" w:h="15840"/>
      <w:pgMar w:top="790" w:right="1134" w:bottom="1021" w:left="1134" w:header="438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ECC7" w14:textId="77777777" w:rsidR="00377AA4" w:rsidRDefault="00377AA4">
      <w:r>
        <w:separator/>
      </w:r>
    </w:p>
  </w:endnote>
  <w:endnote w:type="continuationSeparator" w:id="0">
    <w:p w14:paraId="0D2C2B4D" w14:textId="77777777" w:rsidR="00377AA4" w:rsidRDefault="0037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C298" w14:textId="77777777" w:rsidR="00940387" w:rsidRDefault="009403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22E842" w14:textId="77777777" w:rsidR="00940387" w:rsidRDefault="009403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6CC8" w14:textId="51FA4005" w:rsidR="00940387" w:rsidRPr="00552078" w:rsidRDefault="00940387">
    <w:pPr>
      <w:pStyle w:val="Footer"/>
      <w:framePr w:wrap="around" w:vAnchor="text" w:hAnchor="margin" w:xAlign="right" w:y="1"/>
      <w:rPr>
        <w:rStyle w:val="PageNumber"/>
        <w:color w:val="747474" w:themeColor="background2" w:themeShade="80"/>
        <w:sz w:val="22"/>
      </w:rPr>
    </w:pPr>
    <w:r w:rsidRPr="00552078">
      <w:rPr>
        <w:rStyle w:val="PageNumber"/>
        <w:color w:val="747474" w:themeColor="background2" w:themeShade="80"/>
        <w:sz w:val="22"/>
      </w:rPr>
      <w:fldChar w:fldCharType="begin"/>
    </w:r>
    <w:r w:rsidRPr="00552078">
      <w:rPr>
        <w:rStyle w:val="PageNumber"/>
        <w:color w:val="747474" w:themeColor="background2" w:themeShade="80"/>
        <w:sz w:val="22"/>
      </w:rPr>
      <w:instrText xml:space="preserve">PAGE  </w:instrText>
    </w:r>
    <w:r w:rsidRPr="00552078">
      <w:rPr>
        <w:rStyle w:val="PageNumber"/>
        <w:color w:val="747474" w:themeColor="background2" w:themeShade="80"/>
        <w:sz w:val="22"/>
      </w:rPr>
      <w:fldChar w:fldCharType="separate"/>
    </w:r>
    <w:r w:rsidRPr="00552078">
      <w:rPr>
        <w:rStyle w:val="PageNumber"/>
        <w:noProof/>
        <w:color w:val="747474" w:themeColor="background2" w:themeShade="80"/>
        <w:sz w:val="22"/>
      </w:rPr>
      <w:t>4</w:t>
    </w:r>
    <w:r w:rsidRPr="00552078">
      <w:rPr>
        <w:rStyle w:val="PageNumber"/>
        <w:color w:val="747474" w:themeColor="background2" w:themeShade="80"/>
        <w:sz w:val="22"/>
      </w:rPr>
      <w:fldChar w:fldCharType="end"/>
    </w:r>
  </w:p>
  <w:p w14:paraId="7241117D" w14:textId="57307898" w:rsidR="00940387" w:rsidRPr="00552078" w:rsidRDefault="00442C24">
    <w:pPr>
      <w:pStyle w:val="Footer"/>
      <w:ind w:right="360"/>
      <w:rPr>
        <w:color w:val="747474" w:themeColor="background2" w:themeShade="80"/>
      </w:rPr>
    </w:pPr>
    <w:r w:rsidRPr="00552078">
      <w:rPr>
        <w:color w:val="747474" w:themeColor="background2" w:themeShade="80"/>
      </w:rPr>
      <w:t xml:space="preserve">     </w:t>
    </w:r>
    <w:r w:rsidR="006400EA">
      <w:rPr>
        <w:color w:val="747474" w:themeColor="background2" w:themeShade="80"/>
      </w:rPr>
      <w:t xml:space="preserve"> </w:t>
    </w:r>
    <w:r w:rsidR="006400EA" w:rsidRPr="006400EA">
      <w:rPr>
        <w:color w:val="747474" w:themeColor="background2" w:themeShade="80"/>
      </w:rPr>
      <w:t>ТОО «</w:t>
    </w:r>
    <w:r w:rsidR="006400EA" w:rsidRPr="006400EA">
      <w:rPr>
        <w:color w:val="747474" w:themeColor="background2" w:themeShade="80"/>
        <w:lang w:val="en-US"/>
      </w:rPr>
      <w:t>HR</w:t>
    </w:r>
    <w:r w:rsidR="006400EA" w:rsidRPr="006400EA">
      <w:rPr>
        <w:color w:val="747474" w:themeColor="background2" w:themeShade="80"/>
      </w:rPr>
      <w:t xml:space="preserve"> </w:t>
    </w:r>
    <w:r w:rsidR="006400EA" w:rsidRPr="006400EA">
      <w:rPr>
        <w:color w:val="747474" w:themeColor="background2" w:themeShade="80"/>
        <w:lang w:val="en-US"/>
      </w:rPr>
      <w:t>Practice</w:t>
    </w:r>
    <w:r w:rsidR="006400EA" w:rsidRPr="006400EA">
      <w:rPr>
        <w:color w:val="747474" w:themeColor="background2" w:themeShade="80"/>
      </w:rPr>
      <w:t xml:space="preserve"> </w:t>
    </w:r>
    <w:r w:rsidR="006400EA" w:rsidRPr="006400EA">
      <w:rPr>
        <w:color w:val="747474" w:themeColor="background2" w:themeShade="80"/>
        <w:lang w:val="en-US"/>
      </w:rPr>
      <w:t>Kazakhstan</w:t>
    </w:r>
    <w:r w:rsidR="006400EA" w:rsidRPr="006400EA">
      <w:rPr>
        <w:color w:val="747474" w:themeColor="background2" w:themeShade="80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9EE9" w14:textId="77777777" w:rsidR="00377AA4" w:rsidRDefault="00377AA4">
      <w:r>
        <w:separator/>
      </w:r>
    </w:p>
  </w:footnote>
  <w:footnote w:type="continuationSeparator" w:id="0">
    <w:p w14:paraId="092EAACB" w14:textId="77777777" w:rsidR="00377AA4" w:rsidRDefault="0037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7E4F"/>
    <w:multiLevelType w:val="hybridMultilevel"/>
    <w:tmpl w:val="E834AC3A"/>
    <w:lvl w:ilvl="0" w:tplc="CE30C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40AA"/>
    <w:multiLevelType w:val="multilevel"/>
    <w:tmpl w:val="025CC9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lowerRoman"/>
      <w:lvlText w:val="%3)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D293C12"/>
    <w:multiLevelType w:val="multilevel"/>
    <w:tmpl w:val="0AF6F0A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Segoe UI" w:hAnsi="Segoe UI" w:cs="Segoe U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  <w:ind w:left="0" w:firstLine="0"/>
      </w:pPr>
      <w:rPr>
        <w:rFonts w:ascii="Segoe UI" w:hAnsi="Segoe UI" w:cs="Segoe UI" w:hint="default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3)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39311461">
    <w:abstractNumId w:val="2"/>
  </w:num>
  <w:num w:numId="2" w16cid:durableId="1934320183">
    <w:abstractNumId w:val="1"/>
  </w:num>
  <w:num w:numId="3" w16cid:durableId="804933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7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F2"/>
    <w:rsid w:val="000006DB"/>
    <w:rsid w:val="00003443"/>
    <w:rsid w:val="00005E70"/>
    <w:rsid w:val="00005FB5"/>
    <w:rsid w:val="00017895"/>
    <w:rsid w:val="000215E9"/>
    <w:rsid w:val="00021F0C"/>
    <w:rsid w:val="00037EAD"/>
    <w:rsid w:val="00043767"/>
    <w:rsid w:val="00043830"/>
    <w:rsid w:val="000463CA"/>
    <w:rsid w:val="00046680"/>
    <w:rsid w:val="000467EE"/>
    <w:rsid w:val="00052431"/>
    <w:rsid w:val="00065240"/>
    <w:rsid w:val="00076D08"/>
    <w:rsid w:val="00086801"/>
    <w:rsid w:val="0008715D"/>
    <w:rsid w:val="00092FF1"/>
    <w:rsid w:val="00095029"/>
    <w:rsid w:val="00097423"/>
    <w:rsid w:val="000A2E78"/>
    <w:rsid w:val="000A725F"/>
    <w:rsid w:val="000B29C8"/>
    <w:rsid w:val="000C1841"/>
    <w:rsid w:val="000C293A"/>
    <w:rsid w:val="000C6874"/>
    <w:rsid w:val="000C7C39"/>
    <w:rsid w:val="000D5E62"/>
    <w:rsid w:val="000E3D63"/>
    <w:rsid w:val="000F1E1B"/>
    <w:rsid w:val="000F4EF8"/>
    <w:rsid w:val="001003D8"/>
    <w:rsid w:val="001015C9"/>
    <w:rsid w:val="00103A54"/>
    <w:rsid w:val="00113BD6"/>
    <w:rsid w:val="001147B0"/>
    <w:rsid w:val="001222CB"/>
    <w:rsid w:val="00127026"/>
    <w:rsid w:val="00136C76"/>
    <w:rsid w:val="00153FDD"/>
    <w:rsid w:val="001550EA"/>
    <w:rsid w:val="001571A0"/>
    <w:rsid w:val="00160ADD"/>
    <w:rsid w:val="00163794"/>
    <w:rsid w:val="00165516"/>
    <w:rsid w:val="0017286D"/>
    <w:rsid w:val="0017401A"/>
    <w:rsid w:val="00181B9C"/>
    <w:rsid w:val="00182E17"/>
    <w:rsid w:val="0018799A"/>
    <w:rsid w:val="00191454"/>
    <w:rsid w:val="00192B7C"/>
    <w:rsid w:val="00194A53"/>
    <w:rsid w:val="00197CF6"/>
    <w:rsid w:val="001A16B8"/>
    <w:rsid w:val="001A1B1F"/>
    <w:rsid w:val="001A702F"/>
    <w:rsid w:val="001B681F"/>
    <w:rsid w:val="001C2C5F"/>
    <w:rsid w:val="001D0F0C"/>
    <w:rsid w:val="001D3C6E"/>
    <w:rsid w:val="001E06B8"/>
    <w:rsid w:val="001E1B0E"/>
    <w:rsid w:val="001E5682"/>
    <w:rsid w:val="001E6306"/>
    <w:rsid w:val="001E6E3A"/>
    <w:rsid w:val="001F522B"/>
    <w:rsid w:val="00204E87"/>
    <w:rsid w:val="00206160"/>
    <w:rsid w:val="00213CE5"/>
    <w:rsid w:val="00213EC2"/>
    <w:rsid w:val="002155EE"/>
    <w:rsid w:val="00215A1B"/>
    <w:rsid w:val="002206AA"/>
    <w:rsid w:val="002265D9"/>
    <w:rsid w:val="0023063D"/>
    <w:rsid w:val="00241D30"/>
    <w:rsid w:val="00247012"/>
    <w:rsid w:val="00250E74"/>
    <w:rsid w:val="00260D56"/>
    <w:rsid w:val="00265D6A"/>
    <w:rsid w:val="00267E61"/>
    <w:rsid w:val="00282986"/>
    <w:rsid w:val="00284C00"/>
    <w:rsid w:val="00286805"/>
    <w:rsid w:val="00294F7D"/>
    <w:rsid w:val="002A14CB"/>
    <w:rsid w:val="002A28EF"/>
    <w:rsid w:val="002A794C"/>
    <w:rsid w:val="002B222C"/>
    <w:rsid w:val="002C0221"/>
    <w:rsid w:val="002C1538"/>
    <w:rsid w:val="002C7A92"/>
    <w:rsid w:val="002D0EB2"/>
    <w:rsid w:val="002D1A0A"/>
    <w:rsid w:val="002E314E"/>
    <w:rsid w:val="00313508"/>
    <w:rsid w:val="003136C3"/>
    <w:rsid w:val="003211B2"/>
    <w:rsid w:val="00321EAA"/>
    <w:rsid w:val="00323EAD"/>
    <w:rsid w:val="003314B2"/>
    <w:rsid w:val="00337D67"/>
    <w:rsid w:val="003502D3"/>
    <w:rsid w:val="00363A8F"/>
    <w:rsid w:val="00374B61"/>
    <w:rsid w:val="00375931"/>
    <w:rsid w:val="00377AA4"/>
    <w:rsid w:val="00387774"/>
    <w:rsid w:val="00391EBD"/>
    <w:rsid w:val="0039363B"/>
    <w:rsid w:val="00394638"/>
    <w:rsid w:val="003A081D"/>
    <w:rsid w:val="003A7CBD"/>
    <w:rsid w:val="003B5372"/>
    <w:rsid w:val="003C09EA"/>
    <w:rsid w:val="003C1874"/>
    <w:rsid w:val="003C2AD9"/>
    <w:rsid w:val="003D0320"/>
    <w:rsid w:val="003D6837"/>
    <w:rsid w:val="003E241B"/>
    <w:rsid w:val="003F0F0F"/>
    <w:rsid w:val="003F3CBF"/>
    <w:rsid w:val="0040210F"/>
    <w:rsid w:val="00424AC5"/>
    <w:rsid w:val="00424FA3"/>
    <w:rsid w:val="00442C24"/>
    <w:rsid w:val="004500AD"/>
    <w:rsid w:val="004542FA"/>
    <w:rsid w:val="00455081"/>
    <w:rsid w:val="0046303B"/>
    <w:rsid w:val="004714AC"/>
    <w:rsid w:val="00474889"/>
    <w:rsid w:val="00483F2C"/>
    <w:rsid w:val="00493B47"/>
    <w:rsid w:val="00497401"/>
    <w:rsid w:val="004B29C6"/>
    <w:rsid w:val="004C5A23"/>
    <w:rsid w:val="004C7A6C"/>
    <w:rsid w:val="004E1D40"/>
    <w:rsid w:val="004E5260"/>
    <w:rsid w:val="004E53FD"/>
    <w:rsid w:val="004E5544"/>
    <w:rsid w:val="004F3E2D"/>
    <w:rsid w:val="004F5F08"/>
    <w:rsid w:val="005077E7"/>
    <w:rsid w:val="005102D3"/>
    <w:rsid w:val="00512FD6"/>
    <w:rsid w:val="00526643"/>
    <w:rsid w:val="00526704"/>
    <w:rsid w:val="005322F1"/>
    <w:rsid w:val="00545C4F"/>
    <w:rsid w:val="00552078"/>
    <w:rsid w:val="00556729"/>
    <w:rsid w:val="00562373"/>
    <w:rsid w:val="0056654D"/>
    <w:rsid w:val="005A7EAC"/>
    <w:rsid w:val="005B5ED0"/>
    <w:rsid w:val="005C1158"/>
    <w:rsid w:val="005C1837"/>
    <w:rsid w:val="005C2976"/>
    <w:rsid w:val="005D1373"/>
    <w:rsid w:val="005D66BF"/>
    <w:rsid w:val="005F01C2"/>
    <w:rsid w:val="005F3E36"/>
    <w:rsid w:val="005F565D"/>
    <w:rsid w:val="00600B4D"/>
    <w:rsid w:val="00604A7A"/>
    <w:rsid w:val="006073AD"/>
    <w:rsid w:val="006138D0"/>
    <w:rsid w:val="00614AB8"/>
    <w:rsid w:val="006400EA"/>
    <w:rsid w:val="006423D9"/>
    <w:rsid w:val="006451C3"/>
    <w:rsid w:val="00662BE3"/>
    <w:rsid w:val="00671EF9"/>
    <w:rsid w:val="00674E60"/>
    <w:rsid w:val="006764F2"/>
    <w:rsid w:val="00677AF3"/>
    <w:rsid w:val="00685CFE"/>
    <w:rsid w:val="00686EE7"/>
    <w:rsid w:val="0069081B"/>
    <w:rsid w:val="00692398"/>
    <w:rsid w:val="006929FA"/>
    <w:rsid w:val="0069477E"/>
    <w:rsid w:val="006B3D62"/>
    <w:rsid w:val="006B3DE8"/>
    <w:rsid w:val="006B44B1"/>
    <w:rsid w:val="006C38BA"/>
    <w:rsid w:val="006C4F8A"/>
    <w:rsid w:val="006E17AD"/>
    <w:rsid w:val="006E223F"/>
    <w:rsid w:val="006E3B66"/>
    <w:rsid w:val="006E7838"/>
    <w:rsid w:val="006F4ACC"/>
    <w:rsid w:val="006F6603"/>
    <w:rsid w:val="00717520"/>
    <w:rsid w:val="00731A02"/>
    <w:rsid w:val="00731C3A"/>
    <w:rsid w:val="007362B3"/>
    <w:rsid w:val="0075173C"/>
    <w:rsid w:val="00755284"/>
    <w:rsid w:val="0076365D"/>
    <w:rsid w:val="00770F12"/>
    <w:rsid w:val="00773B37"/>
    <w:rsid w:val="00775555"/>
    <w:rsid w:val="00776B94"/>
    <w:rsid w:val="007803D9"/>
    <w:rsid w:val="00785C91"/>
    <w:rsid w:val="0078658E"/>
    <w:rsid w:val="007865BE"/>
    <w:rsid w:val="00787AAF"/>
    <w:rsid w:val="0079082F"/>
    <w:rsid w:val="00793B28"/>
    <w:rsid w:val="0079466C"/>
    <w:rsid w:val="007A0475"/>
    <w:rsid w:val="007B1D1C"/>
    <w:rsid w:val="007B5A0A"/>
    <w:rsid w:val="007C6B6E"/>
    <w:rsid w:val="007C7834"/>
    <w:rsid w:val="007D636D"/>
    <w:rsid w:val="007D63D3"/>
    <w:rsid w:val="007D64A0"/>
    <w:rsid w:val="007E015B"/>
    <w:rsid w:val="007F15F1"/>
    <w:rsid w:val="007F210F"/>
    <w:rsid w:val="007F342B"/>
    <w:rsid w:val="007F6788"/>
    <w:rsid w:val="00803966"/>
    <w:rsid w:val="008043CF"/>
    <w:rsid w:val="00804CBB"/>
    <w:rsid w:val="00810044"/>
    <w:rsid w:val="00816368"/>
    <w:rsid w:val="008178AA"/>
    <w:rsid w:val="0082299A"/>
    <w:rsid w:val="00822FF2"/>
    <w:rsid w:val="0084151D"/>
    <w:rsid w:val="008454CC"/>
    <w:rsid w:val="00853652"/>
    <w:rsid w:val="00855F33"/>
    <w:rsid w:val="008667DF"/>
    <w:rsid w:val="00874BAC"/>
    <w:rsid w:val="00874EA5"/>
    <w:rsid w:val="00880B62"/>
    <w:rsid w:val="008821F7"/>
    <w:rsid w:val="00883726"/>
    <w:rsid w:val="00883CCD"/>
    <w:rsid w:val="00885388"/>
    <w:rsid w:val="00887201"/>
    <w:rsid w:val="008A5027"/>
    <w:rsid w:val="008A7477"/>
    <w:rsid w:val="008A7C65"/>
    <w:rsid w:val="008B0F54"/>
    <w:rsid w:val="008B7D7C"/>
    <w:rsid w:val="008C4B9A"/>
    <w:rsid w:val="008C7649"/>
    <w:rsid w:val="008D40E3"/>
    <w:rsid w:val="008F0721"/>
    <w:rsid w:val="008F5A0F"/>
    <w:rsid w:val="00900C6C"/>
    <w:rsid w:val="00907E22"/>
    <w:rsid w:val="00913124"/>
    <w:rsid w:val="00925781"/>
    <w:rsid w:val="0092633D"/>
    <w:rsid w:val="00933E48"/>
    <w:rsid w:val="00935941"/>
    <w:rsid w:val="00940387"/>
    <w:rsid w:val="00942330"/>
    <w:rsid w:val="00947AA4"/>
    <w:rsid w:val="00957CDC"/>
    <w:rsid w:val="00960934"/>
    <w:rsid w:val="00961FAC"/>
    <w:rsid w:val="009654F4"/>
    <w:rsid w:val="00967EBD"/>
    <w:rsid w:val="00970CDC"/>
    <w:rsid w:val="00995B26"/>
    <w:rsid w:val="00997CDE"/>
    <w:rsid w:val="009A6371"/>
    <w:rsid w:val="009A6A76"/>
    <w:rsid w:val="009A7779"/>
    <w:rsid w:val="009B0145"/>
    <w:rsid w:val="009B06DC"/>
    <w:rsid w:val="009B1075"/>
    <w:rsid w:val="009B3CC5"/>
    <w:rsid w:val="009B57C9"/>
    <w:rsid w:val="009C096E"/>
    <w:rsid w:val="009D142A"/>
    <w:rsid w:val="009E37F7"/>
    <w:rsid w:val="009E5B2C"/>
    <w:rsid w:val="009F60A2"/>
    <w:rsid w:val="009F7818"/>
    <w:rsid w:val="00A1241B"/>
    <w:rsid w:val="00A13DD5"/>
    <w:rsid w:val="00A161D8"/>
    <w:rsid w:val="00A17125"/>
    <w:rsid w:val="00A23B17"/>
    <w:rsid w:val="00A260DD"/>
    <w:rsid w:val="00A26C71"/>
    <w:rsid w:val="00A4470C"/>
    <w:rsid w:val="00A50910"/>
    <w:rsid w:val="00A52AAA"/>
    <w:rsid w:val="00A5365F"/>
    <w:rsid w:val="00A53F21"/>
    <w:rsid w:val="00A60765"/>
    <w:rsid w:val="00A632A5"/>
    <w:rsid w:val="00A650E8"/>
    <w:rsid w:val="00A66D47"/>
    <w:rsid w:val="00A70E7A"/>
    <w:rsid w:val="00A76FF9"/>
    <w:rsid w:val="00A811CB"/>
    <w:rsid w:val="00A86B4A"/>
    <w:rsid w:val="00A90619"/>
    <w:rsid w:val="00AA5241"/>
    <w:rsid w:val="00AA69B2"/>
    <w:rsid w:val="00AB1D16"/>
    <w:rsid w:val="00AB29AF"/>
    <w:rsid w:val="00AB75C1"/>
    <w:rsid w:val="00AB7DAF"/>
    <w:rsid w:val="00AC10AB"/>
    <w:rsid w:val="00AC1EAD"/>
    <w:rsid w:val="00AE1447"/>
    <w:rsid w:val="00AE2054"/>
    <w:rsid w:val="00AE20D3"/>
    <w:rsid w:val="00AF724D"/>
    <w:rsid w:val="00B07FD7"/>
    <w:rsid w:val="00B14BAA"/>
    <w:rsid w:val="00B21961"/>
    <w:rsid w:val="00B22A0A"/>
    <w:rsid w:val="00B24824"/>
    <w:rsid w:val="00B36AF0"/>
    <w:rsid w:val="00B41597"/>
    <w:rsid w:val="00B607C0"/>
    <w:rsid w:val="00B649A1"/>
    <w:rsid w:val="00B80245"/>
    <w:rsid w:val="00B82438"/>
    <w:rsid w:val="00B84E8A"/>
    <w:rsid w:val="00B863F5"/>
    <w:rsid w:val="00B91544"/>
    <w:rsid w:val="00B9159D"/>
    <w:rsid w:val="00BA5FE4"/>
    <w:rsid w:val="00BB718B"/>
    <w:rsid w:val="00BC5C62"/>
    <w:rsid w:val="00BC6344"/>
    <w:rsid w:val="00BD1FA4"/>
    <w:rsid w:val="00BD6991"/>
    <w:rsid w:val="00BE7DB9"/>
    <w:rsid w:val="00BF6609"/>
    <w:rsid w:val="00C04A1D"/>
    <w:rsid w:val="00C0684B"/>
    <w:rsid w:val="00C11920"/>
    <w:rsid w:val="00C25918"/>
    <w:rsid w:val="00C3012A"/>
    <w:rsid w:val="00C46C81"/>
    <w:rsid w:val="00C47D27"/>
    <w:rsid w:val="00C47EB3"/>
    <w:rsid w:val="00C5371B"/>
    <w:rsid w:val="00C53744"/>
    <w:rsid w:val="00C80FBE"/>
    <w:rsid w:val="00C818EE"/>
    <w:rsid w:val="00C81B62"/>
    <w:rsid w:val="00C8322B"/>
    <w:rsid w:val="00C83CAD"/>
    <w:rsid w:val="00C85F1C"/>
    <w:rsid w:val="00C90AD4"/>
    <w:rsid w:val="00C95344"/>
    <w:rsid w:val="00CB20E1"/>
    <w:rsid w:val="00CB3075"/>
    <w:rsid w:val="00CC3D4E"/>
    <w:rsid w:val="00CC6184"/>
    <w:rsid w:val="00CC7CBC"/>
    <w:rsid w:val="00CD655A"/>
    <w:rsid w:val="00CE29DC"/>
    <w:rsid w:val="00CE2D99"/>
    <w:rsid w:val="00CF12A8"/>
    <w:rsid w:val="00CF7F73"/>
    <w:rsid w:val="00D007D0"/>
    <w:rsid w:val="00D21826"/>
    <w:rsid w:val="00D2376C"/>
    <w:rsid w:val="00D23F2C"/>
    <w:rsid w:val="00D277F8"/>
    <w:rsid w:val="00D30DB7"/>
    <w:rsid w:val="00D3313B"/>
    <w:rsid w:val="00D353F9"/>
    <w:rsid w:val="00D371EA"/>
    <w:rsid w:val="00D40B3D"/>
    <w:rsid w:val="00D41E95"/>
    <w:rsid w:val="00D43FFD"/>
    <w:rsid w:val="00D45C55"/>
    <w:rsid w:val="00D53A77"/>
    <w:rsid w:val="00D6167C"/>
    <w:rsid w:val="00D61EAF"/>
    <w:rsid w:val="00D76320"/>
    <w:rsid w:val="00D76A05"/>
    <w:rsid w:val="00D76ECF"/>
    <w:rsid w:val="00D8151F"/>
    <w:rsid w:val="00D81B31"/>
    <w:rsid w:val="00D82993"/>
    <w:rsid w:val="00D82E97"/>
    <w:rsid w:val="00D92A31"/>
    <w:rsid w:val="00D96226"/>
    <w:rsid w:val="00DA3B88"/>
    <w:rsid w:val="00DA435E"/>
    <w:rsid w:val="00DA5FAA"/>
    <w:rsid w:val="00DC612C"/>
    <w:rsid w:val="00DD2760"/>
    <w:rsid w:val="00DD5001"/>
    <w:rsid w:val="00DD51EE"/>
    <w:rsid w:val="00DE13A8"/>
    <w:rsid w:val="00DE494B"/>
    <w:rsid w:val="00DE4DBF"/>
    <w:rsid w:val="00DE671D"/>
    <w:rsid w:val="00E002C5"/>
    <w:rsid w:val="00E01F9E"/>
    <w:rsid w:val="00E11623"/>
    <w:rsid w:val="00E11832"/>
    <w:rsid w:val="00E12A81"/>
    <w:rsid w:val="00E14237"/>
    <w:rsid w:val="00E16499"/>
    <w:rsid w:val="00E52051"/>
    <w:rsid w:val="00E54137"/>
    <w:rsid w:val="00E65FDC"/>
    <w:rsid w:val="00E663CA"/>
    <w:rsid w:val="00E669A9"/>
    <w:rsid w:val="00E67538"/>
    <w:rsid w:val="00E7575D"/>
    <w:rsid w:val="00E75A8C"/>
    <w:rsid w:val="00E84039"/>
    <w:rsid w:val="00E909C6"/>
    <w:rsid w:val="00E96EEF"/>
    <w:rsid w:val="00EA178F"/>
    <w:rsid w:val="00EA4745"/>
    <w:rsid w:val="00EB405F"/>
    <w:rsid w:val="00EB56FE"/>
    <w:rsid w:val="00EB64FC"/>
    <w:rsid w:val="00EC7B42"/>
    <w:rsid w:val="00ED1246"/>
    <w:rsid w:val="00ED375C"/>
    <w:rsid w:val="00ED5992"/>
    <w:rsid w:val="00EE117C"/>
    <w:rsid w:val="00EE5782"/>
    <w:rsid w:val="00EF07EB"/>
    <w:rsid w:val="00EF225F"/>
    <w:rsid w:val="00EF39F5"/>
    <w:rsid w:val="00F03660"/>
    <w:rsid w:val="00F04F13"/>
    <w:rsid w:val="00F115A7"/>
    <w:rsid w:val="00F17084"/>
    <w:rsid w:val="00F22A1B"/>
    <w:rsid w:val="00F2672F"/>
    <w:rsid w:val="00F32AD2"/>
    <w:rsid w:val="00F40229"/>
    <w:rsid w:val="00F42E20"/>
    <w:rsid w:val="00F449C1"/>
    <w:rsid w:val="00F453C3"/>
    <w:rsid w:val="00F52938"/>
    <w:rsid w:val="00F5459A"/>
    <w:rsid w:val="00F55DE5"/>
    <w:rsid w:val="00F5684F"/>
    <w:rsid w:val="00F66417"/>
    <w:rsid w:val="00F70AF6"/>
    <w:rsid w:val="00F71AEC"/>
    <w:rsid w:val="00F71FC5"/>
    <w:rsid w:val="00F82D25"/>
    <w:rsid w:val="00F90782"/>
    <w:rsid w:val="00F908C9"/>
    <w:rsid w:val="00F93F2D"/>
    <w:rsid w:val="00FA1769"/>
    <w:rsid w:val="00FA4F8F"/>
    <w:rsid w:val="00FA7964"/>
    <w:rsid w:val="00FB2F1D"/>
    <w:rsid w:val="00FC442C"/>
    <w:rsid w:val="00FC4F76"/>
    <w:rsid w:val="00FC5B10"/>
    <w:rsid w:val="00FC6941"/>
    <w:rsid w:val="00FC7A83"/>
    <w:rsid w:val="00FD6579"/>
    <w:rsid w:val="00FE4888"/>
    <w:rsid w:val="00FF3B03"/>
    <w:rsid w:val="00FF54B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54B7EB"/>
  <w15:chartTrackingRefBased/>
  <w15:docId w15:val="{05E8CBC2-57C1-ED45-8C31-DB078F4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K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38"/>
    <w:rPr>
      <w:sz w:val="24"/>
      <w:lang w:val="ru-RU"/>
    </w:rPr>
  </w:style>
  <w:style w:type="paragraph" w:styleId="Heading1">
    <w:name w:val="heading 1"/>
    <w:basedOn w:val="Normal"/>
    <w:next w:val="Normal"/>
    <w:qFormat/>
    <w:rsid w:val="00822FF2"/>
    <w:pPr>
      <w:keepNext/>
      <w:spacing w:line="264" w:lineRule="auto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rsid w:val="00822FF2"/>
    <w:pPr>
      <w:keepNext/>
      <w:spacing w:after="60"/>
      <w:outlineLvl w:val="1"/>
    </w:pPr>
    <w:rPr>
      <w:b/>
      <w:sz w:val="20"/>
      <w:lang w:val="en-US"/>
    </w:rPr>
  </w:style>
  <w:style w:type="paragraph" w:styleId="Heading4">
    <w:name w:val="heading 4"/>
    <w:basedOn w:val="Normal"/>
    <w:next w:val="Normal"/>
    <w:qFormat/>
    <w:rsid w:val="00822FF2"/>
    <w:pPr>
      <w:keepNext/>
      <w:spacing w:line="312" w:lineRule="auto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22FF2"/>
    <w:pPr>
      <w:keepNext/>
      <w:spacing w:line="312" w:lineRule="auto"/>
      <w:jc w:val="both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autoRedefine/>
    <w:rsid w:val="00197CF6"/>
    <w:pPr>
      <w:spacing w:afterLines="60" w:after="144"/>
      <w:ind w:firstLine="709"/>
      <w:jc w:val="both"/>
    </w:pPr>
    <w:rPr>
      <w:sz w:val="28"/>
      <w:szCs w:val="28"/>
    </w:rPr>
  </w:style>
  <w:style w:type="paragraph" w:styleId="BodyTextIndent">
    <w:name w:val="Body Text Indent"/>
    <w:basedOn w:val="Normal"/>
    <w:rsid w:val="00822FF2"/>
    <w:pPr>
      <w:ind w:left="1843"/>
      <w:jc w:val="both"/>
    </w:pPr>
    <w:rPr>
      <w:sz w:val="20"/>
      <w:lang w:val="en-US"/>
    </w:rPr>
  </w:style>
  <w:style w:type="paragraph" w:styleId="Title">
    <w:name w:val="Title"/>
    <w:basedOn w:val="Normal"/>
    <w:qFormat/>
    <w:rsid w:val="00822FF2"/>
    <w:pPr>
      <w:spacing w:after="120"/>
      <w:ind w:left="720"/>
      <w:jc w:val="center"/>
    </w:pPr>
    <w:rPr>
      <w:b/>
      <w:sz w:val="32"/>
      <w:lang w:eastAsia="ru-RU"/>
    </w:rPr>
  </w:style>
  <w:style w:type="paragraph" w:styleId="Footer">
    <w:name w:val="footer"/>
    <w:basedOn w:val="Normal"/>
    <w:link w:val="FooterChar"/>
    <w:rsid w:val="00822FF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2FF2"/>
  </w:style>
  <w:style w:type="paragraph" w:styleId="BodyText3">
    <w:name w:val="Body Text 3"/>
    <w:basedOn w:val="Normal"/>
    <w:rsid w:val="00822FF2"/>
  </w:style>
  <w:style w:type="paragraph" w:styleId="BalloonText">
    <w:name w:val="Balloon Text"/>
    <w:basedOn w:val="Normal"/>
    <w:semiHidden/>
    <w:rsid w:val="00C47EB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270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7026"/>
    <w:rPr>
      <w:sz w:val="20"/>
    </w:rPr>
  </w:style>
  <w:style w:type="character" w:customStyle="1" w:styleId="CommentTextChar">
    <w:name w:val="Comment Text Char"/>
    <w:link w:val="CommentText"/>
    <w:rsid w:val="001270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7026"/>
    <w:rPr>
      <w:b/>
      <w:bCs/>
    </w:rPr>
  </w:style>
  <w:style w:type="character" w:customStyle="1" w:styleId="CommentSubjectChar">
    <w:name w:val="Comment Subject Char"/>
    <w:link w:val="CommentSubject"/>
    <w:rsid w:val="00127026"/>
    <w:rPr>
      <w:b/>
      <w:bCs/>
      <w:lang w:eastAsia="en-US"/>
    </w:rPr>
  </w:style>
  <w:style w:type="paragraph" w:styleId="Revision">
    <w:name w:val="Revision"/>
    <w:hidden/>
    <w:uiPriority w:val="99"/>
    <w:semiHidden/>
    <w:rsid w:val="00127026"/>
    <w:rPr>
      <w:sz w:val="24"/>
      <w:lang w:val="ru-RU"/>
    </w:rPr>
  </w:style>
  <w:style w:type="paragraph" w:styleId="Header">
    <w:name w:val="header"/>
    <w:basedOn w:val="Normal"/>
    <w:link w:val="HeaderChar"/>
    <w:rsid w:val="00D82E9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82E97"/>
    <w:rPr>
      <w:sz w:val="24"/>
      <w:lang w:val="ru-RU" w:eastAsia="en-US"/>
    </w:rPr>
  </w:style>
  <w:style w:type="paragraph" w:customStyle="1" w:styleId="paragraph">
    <w:name w:val="paragraph"/>
    <w:basedOn w:val="Normal"/>
    <w:rsid w:val="007C6B6E"/>
    <w:pPr>
      <w:spacing w:before="100" w:beforeAutospacing="1" w:after="100" w:afterAutospacing="1"/>
    </w:pPr>
    <w:rPr>
      <w:szCs w:val="24"/>
      <w:lang w:eastAsia="ru-RU"/>
    </w:rPr>
  </w:style>
  <w:style w:type="table" w:styleId="TableClassic1">
    <w:name w:val="Table Classic 1"/>
    <w:basedOn w:val="TableNormal"/>
    <w:rsid w:val="005A7E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A7E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A7E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BE7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821F7"/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A17540-8835-B846-8DAA-F3E11A78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2155</Words>
  <Characters>12287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Соглашение о конфиденциальности</vt:lpstr>
      <vt:lpstr>Соглашение о конфиденциальности</vt:lpstr>
    </vt:vector>
  </TitlesOfParts>
  <Company>Kazyna</Company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ErnarN</dc:creator>
  <cp:keywords/>
  <cp:lastModifiedBy>Yuri Shneidmyuller</cp:lastModifiedBy>
  <cp:revision>3</cp:revision>
  <cp:lastPrinted>2025-11-27T05:32:00Z</cp:lastPrinted>
  <dcterms:created xsi:type="dcterms:W3CDTF">2025-11-29T08:25:00Z</dcterms:created>
  <dcterms:modified xsi:type="dcterms:W3CDTF">2025-11-29T08:25:00Z</dcterms:modified>
</cp:coreProperties>
</file>